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80997" w14:textId="77777777" w:rsidR="00BF29A5" w:rsidRPr="00BA7CC2" w:rsidRDefault="00BF29A5" w:rsidP="00BA7CC2">
      <w:pPr>
        <w:jc w:val="both"/>
        <w:rPr>
          <w:rFonts w:ascii="Arial" w:hAnsi="Arial" w:cs="Arial"/>
          <w:sz w:val="24"/>
          <w:szCs w:val="24"/>
        </w:rPr>
      </w:pPr>
    </w:p>
    <w:p w14:paraId="28FC5B6A" w14:textId="0E519D7E" w:rsidR="00F72EF6" w:rsidRPr="00BA7CC2" w:rsidRDefault="00F72EF6" w:rsidP="00BA7CC2">
      <w:pPr>
        <w:pStyle w:val="Ttulo1"/>
        <w:numPr>
          <w:ilvl w:val="0"/>
          <w:numId w:val="28"/>
        </w:numPr>
        <w:jc w:val="both"/>
        <w:rPr>
          <w:rFonts w:cs="Arial"/>
          <w:szCs w:val="24"/>
        </w:rPr>
      </w:pPr>
      <w:r w:rsidRPr="00BA7CC2">
        <w:rPr>
          <w:rFonts w:cs="Arial"/>
          <w:szCs w:val="24"/>
        </w:rPr>
        <w:t>OBJETIVO</w:t>
      </w:r>
    </w:p>
    <w:p w14:paraId="076D7F3B" w14:textId="77777777" w:rsidR="00DE2722" w:rsidRPr="00BA7CC2" w:rsidRDefault="00DE2722" w:rsidP="00BA7CC2">
      <w:pPr>
        <w:jc w:val="both"/>
        <w:rPr>
          <w:rFonts w:ascii="Arial" w:hAnsi="Arial" w:cs="Arial"/>
          <w:sz w:val="24"/>
          <w:szCs w:val="24"/>
        </w:rPr>
      </w:pPr>
      <w:r w:rsidRPr="00BA7CC2">
        <w:rPr>
          <w:rFonts w:ascii="Arial" w:hAnsi="Arial" w:cs="Arial"/>
          <w:sz w:val="24"/>
          <w:szCs w:val="24"/>
        </w:rPr>
        <w:t>Establecer los lineamientos técnicos, administrativos y asistenciales para la organización, desarrollo, seguimiento y mejoramiento continuo del Subproceso de Gestión Integral de la Atención en Salud Mental de la E.S.E. Bellosalud, garantizando la promoción de la salud mental, la prevención de los trastornos mentales, la identificación temprana de factores de riesgo, la valoración integral, la intervención interdisciplinaria, la activación oportuna de las rutas de atención, el seguimiento clínico y psicosocial, y la articulación intersectorial, bajo un enfoque de gestión integral del riesgo, atención centrada en la persona, enfoque diferencial, continuidad del cuidado, seguridad del paciente y garantía de derechos.</w:t>
      </w:r>
    </w:p>
    <w:p w14:paraId="6A87AC91" w14:textId="77777777" w:rsidR="00BA7CC2" w:rsidRDefault="00BA7CC2" w:rsidP="00BA7CC2">
      <w:pPr>
        <w:pStyle w:val="Ttulo2"/>
        <w:jc w:val="both"/>
        <w:rPr>
          <w:rFonts w:cs="Arial"/>
          <w:szCs w:val="24"/>
        </w:rPr>
      </w:pPr>
    </w:p>
    <w:p w14:paraId="53BE649A" w14:textId="65F7B27F" w:rsidR="0084136D" w:rsidRPr="00BA7CC2" w:rsidRDefault="00996BB9" w:rsidP="00BA7CC2">
      <w:pPr>
        <w:pStyle w:val="Ttulo2"/>
        <w:jc w:val="both"/>
        <w:rPr>
          <w:rFonts w:cs="Arial"/>
          <w:szCs w:val="24"/>
        </w:rPr>
      </w:pPr>
      <w:r w:rsidRPr="00BA7CC2">
        <w:rPr>
          <w:rFonts w:cs="Arial"/>
          <w:szCs w:val="24"/>
        </w:rPr>
        <w:t>Objetivos específicos</w:t>
      </w:r>
    </w:p>
    <w:p w14:paraId="48327347" w14:textId="77777777" w:rsidR="00996BB9" w:rsidRPr="00BA7CC2" w:rsidRDefault="00996BB9" w:rsidP="00BA7CC2">
      <w:pPr>
        <w:jc w:val="both"/>
        <w:rPr>
          <w:rFonts w:ascii="Arial" w:hAnsi="Arial" w:cs="Arial"/>
          <w:sz w:val="24"/>
          <w:szCs w:val="24"/>
        </w:rPr>
      </w:pPr>
    </w:p>
    <w:p w14:paraId="4A263BDD" w14:textId="77777777" w:rsidR="0084136D" w:rsidRPr="00BA7CC2" w:rsidRDefault="0084136D" w:rsidP="00BA7CC2">
      <w:pPr>
        <w:jc w:val="both"/>
        <w:rPr>
          <w:rFonts w:ascii="Arial" w:hAnsi="Arial" w:cs="Arial"/>
          <w:sz w:val="24"/>
          <w:szCs w:val="24"/>
        </w:rPr>
      </w:pPr>
      <w:r w:rsidRPr="00BA7CC2">
        <w:rPr>
          <w:rFonts w:ascii="Arial" w:hAnsi="Arial" w:cs="Arial"/>
          <w:sz w:val="24"/>
          <w:szCs w:val="24"/>
        </w:rPr>
        <w:t>El Subproceso de Gestión Integral de la Atención en Salud Mental tiene como objetivos específicos:</w:t>
      </w:r>
    </w:p>
    <w:p w14:paraId="37D377E9" w14:textId="77777777" w:rsidR="0084136D"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t xml:space="preserve">Promover el bienestar psicológico, emocional, familiar y comunitario de la población usuaria mediante estrategias de promoción de la salud mental y fortalecimiento de factores protectores. </w:t>
      </w:r>
    </w:p>
    <w:p w14:paraId="46ABEB54" w14:textId="77777777" w:rsidR="0084136D"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t xml:space="preserve">Detectar oportunamente factores de riesgo, signos de alarma y alteraciones relacionadas con la salud mental mediante herramientas de tamizaje y valoración clínica. </w:t>
      </w:r>
    </w:p>
    <w:p w14:paraId="4C6FCC82" w14:textId="77777777" w:rsidR="0084136D"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t xml:space="preserve">Garantizar la atención integral e interdisciplinaria de las personas con trastornos mentales, crisis emocionales, consumo de sustancias psicoactivas, conducta suicida, violencias y demás eventos prioritarios en salud mental. </w:t>
      </w:r>
    </w:p>
    <w:p w14:paraId="78056CA4" w14:textId="77777777" w:rsidR="0084136D"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t xml:space="preserve">Implementar acciones de gestión integral del riesgo orientadas a prevenir eventos adversos, reducir la morbilidad asociada a los trastornos mentales y proteger la vida de los usuarios. </w:t>
      </w:r>
    </w:p>
    <w:p w14:paraId="0325D27B" w14:textId="77777777" w:rsidR="0084136D"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t xml:space="preserve">Fortalecer la articulación entre los servicios asistenciales, programas institucionales, entidades territoriales y organizaciones comunitarias para favorecer la continuidad del cuidado. </w:t>
      </w:r>
    </w:p>
    <w:p w14:paraId="5D0878BF" w14:textId="77777777" w:rsidR="0084136D"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t xml:space="preserve">Garantizar la activación oportuna de las rutas institucionales y externas cuando se identifiquen eventos que comprometan la integridad física, psicológica o social del usuario. </w:t>
      </w:r>
    </w:p>
    <w:p w14:paraId="290D1CD8" w14:textId="77777777" w:rsidR="0084136D"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lastRenderedPageBreak/>
        <w:t xml:space="preserve">Favorecer la adherencia terapéutica mediante estrategias de seguimiento clínico, educación, acompañamiento familiar y fortalecimiento de redes de apoyo. </w:t>
      </w:r>
    </w:p>
    <w:p w14:paraId="771852B2" w14:textId="77777777" w:rsidR="0084136D"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t xml:space="preserve">Generar información confiable para la vigilancia epidemiológica, el monitoreo institucional y la toma de decisiones en salud mental. </w:t>
      </w:r>
    </w:p>
    <w:p w14:paraId="6C139E19" w14:textId="4827D856" w:rsidR="00DE2722" w:rsidRPr="00BA7CC2" w:rsidRDefault="0084136D" w:rsidP="00BA7CC2">
      <w:pPr>
        <w:pStyle w:val="Prrafodelista"/>
        <w:numPr>
          <w:ilvl w:val="0"/>
          <w:numId w:val="29"/>
        </w:numPr>
        <w:jc w:val="both"/>
        <w:rPr>
          <w:rFonts w:ascii="Arial" w:hAnsi="Arial" w:cs="Arial"/>
          <w:sz w:val="24"/>
          <w:szCs w:val="24"/>
        </w:rPr>
      </w:pPr>
      <w:r w:rsidRPr="00BA7CC2">
        <w:rPr>
          <w:rFonts w:ascii="Arial" w:hAnsi="Arial" w:cs="Arial"/>
          <w:sz w:val="24"/>
          <w:szCs w:val="24"/>
        </w:rPr>
        <w:t>Contribuir al mejoramiento continuo del proceso mediante el seguimiento de indicadores de desempeño, calidad y gestión del riesgo.</w:t>
      </w:r>
    </w:p>
    <w:p w14:paraId="744BBE02" w14:textId="4A682E7F" w:rsidR="00F72EF6" w:rsidRPr="00BA7CC2" w:rsidRDefault="00F72EF6" w:rsidP="00BA7CC2">
      <w:pPr>
        <w:pStyle w:val="Ttulo1"/>
        <w:numPr>
          <w:ilvl w:val="0"/>
          <w:numId w:val="28"/>
        </w:numPr>
        <w:jc w:val="both"/>
        <w:rPr>
          <w:rFonts w:cs="Arial"/>
          <w:szCs w:val="24"/>
        </w:rPr>
      </w:pPr>
      <w:r w:rsidRPr="00BA7CC2">
        <w:rPr>
          <w:rFonts w:cs="Arial"/>
          <w:szCs w:val="24"/>
        </w:rPr>
        <w:t>ALCANCE</w:t>
      </w:r>
    </w:p>
    <w:p w14:paraId="60CD9C73" w14:textId="77777777" w:rsidR="00955E92" w:rsidRPr="00BA7CC2" w:rsidRDefault="00955E92" w:rsidP="00BA7CC2">
      <w:pPr>
        <w:jc w:val="both"/>
        <w:rPr>
          <w:rFonts w:ascii="Arial" w:hAnsi="Arial" w:cs="Arial"/>
          <w:sz w:val="24"/>
          <w:szCs w:val="24"/>
        </w:rPr>
      </w:pPr>
      <w:r w:rsidRPr="00BA7CC2">
        <w:rPr>
          <w:rFonts w:ascii="Arial" w:hAnsi="Arial" w:cs="Arial"/>
          <w:sz w:val="24"/>
          <w:szCs w:val="24"/>
        </w:rPr>
        <w:t>El Subproceso de Gestión Integral de la Atención en Salud Mental inicia con la identificación de necesidades, factores protectores, factores de riesgo o alteraciones relacionadas con la salud mental de los usuarios que ingresan a la E.S.E. Bellosalud a través de cualquiera de sus puntos de atención, programas institucionales, actividades extramurales o estrategias comunitarias.</w:t>
      </w:r>
    </w:p>
    <w:p w14:paraId="4AF7CC55" w14:textId="77777777" w:rsidR="00955E92" w:rsidRPr="00BA7CC2" w:rsidRDefault="00955E92" w:rsidP="00BA7CC2">
      <w:pPr>
        <w:jc w:val="both"/>
        <w:rPr>
          <w:rFonts w:ascii="Arial" w:hAnsi="Arial" w:cs="Arial"/>
          <w:sz w:val="24"/>
          <w:szCs w:val="24"/>
        </w:rPr>
      </w:pPr>
      <w:r w:rsidRPr="00BA7CC2">
        <w:rPr>
          <w:rFonts w:ascii="Arial" w:hAnsi="Arial" w:cs="Arial"/>
          <w:sz w:val="24"/>
          <w:szCs w:val="24"/>
        </w:rPr>
        <w:t>Comprende las actividades de captación, tamizaje, valoración integral, diagnóstico, intervención clínica, atención psicológica, seguimiento interdisciplinario, gestión del riesgo, activación de rutas específicas de atención, referencia y contrarreferencia, articulación intersectorial, vigilancia epidemiológica, educación al usuario y su familia, fortalecimiento de redes de apoyo, rehabilitación psicosocial y evaluación permanente de los resultados en salud.</w:t>
      </w:r>
    </w:p>
    <w:p w14:paraId="19CC8D43" w14:textId="5375061C" w:rsidR="00955E92" w:rsidRPr="00BA7CC2" w:rsidRDefault="00955E92" w:rsidP="00BA7CC2">
      <w:pPr>
        <w:jc w:val="both"/>
        <w:rPr>
          <w:rFonts w:ascii="Arial" w:hAnsi="Arial" w:cs="Arial"/>
          <w:sz w:val="24"/>
          <w:szCs w:val="24"/>
        </w:rPr>
      </w:pPr>
      <w:r w:rsidRPr="00BA7CC2">
        <w:rPr>
          <w:rFonts w:ascii="Arial" w:hAnsi="Arial" w:cs="Arial"/>
          <w:sz w:val="24"/>
          <w:szCs w:val="24"/>
        </w:rPr>
        <w:t>Finaliza con el cierre clínico del caso o con la continuidad del seguimiento institucional, garantizando la remisión oportuna cuando la condición del usuario requiera atención en un nivel de mayor complejidad, asegurando la continuidad del cuidado y la protección integral de sus derechos.</w:t>
      </w:r>
    </w:p>
    <w:p w14:paraId="18C53E07" w14:textId="28D627BE" w:rsidR="00F72EF6" w:rsidRPr="00BA7CC2" w:rsidRDefault="00F72EF6" w:rsidP="00BA7CC2">
      <w:pPr>
        <w:pStyle w:val="Ttulo1"/>
        <w:numPr>
          <w:ilvl w:val="0"/>
          <w:numId w:val="28"/>
        </w:numPr>
        <w:jc w:val="both"/>
        <w:rPr>
          <w:rFonts w:cs="Arial"/>
          <w:szCs w:val="24"/>
        </w:rPr>
      </w:pPr>
      <w:r w:rsidRPr="00BA7CC2">
        <w:rPr>
          <w:rFonts w:cs="Arial"/>
          <w:szCs w:val="24"/>
        </w:rPr>
        <w:t>RESPONSABLE</w:t>
      </w:r>
    </w:p>
    <w:p w14:paraId="067215BF" w14:textId="6910C6EE" w:rsidR="0084136D" w:rsidRPr="00BA7CC2" w:rsidRDefault="001F5F31" w:rsidP="00BA7CC2">
      <w:pPr>
        <w:jc w:val="both"/>
        <w:rPr>
          <w:rFonts w:ascii="Arial" w:hAnsi="Arial" w:cs="Arial"/>
          <w:sz w:val="24"/>
          <w:szCs w:val="24"/>
        </w:rPr>
      </w:pPr>
      <w:r w:rsidRPr="00BA7CC2">
        <w:rPr>
          <w:rFonts w:ascii="Arial" w:hAnsi="Arial" w:cs="Arial"/>
          <w:sz w:val="24"/>
          <w:szCs w:val="24"/>
        </w:rPr>
        <w:t>La implementación, ejecución, seguimiento y evaluación del Subproceso de Gestión Integral de la Atención en Salud Mental es responsabilidad de todos los colaboradores que intervienen en la atención de los usuarios de la E.S.E. Bellosalud, de acuerdo con sus competencias profesionales y funciones institucionales.</w:t>
      </w:r>
      <w:r w:rsidR="00EA0B97" w:rsidRPr="00BA7CC2">
        <w:rPr>
          <w:rFonts w:ascii="Arial" w:hAnsi="Arial" w:cs="Arial"/>
          <w:sz w:val="24"/>
          <w:szCs w:val="24"/>
        </w:rPr>
        <w:t xml:space="preserve"> </w:t>
      </w:r>
      <w:r w:rsidRPr="00BA7CC2">
        <w:rPr>
          <w:rFonts w:ascii="Arial" w:hAnsi="Arial" w:cs="Arial"/>
          <w:sz w:val="24"/>
          <w:szCs w:val="24"/>
        </w:rPr>
        <w:t>Participan directamente:</w:t>
      </w:r>
    </w:p>
    <w:tbl>
      <w:tblPr>
        <w:tblStyle w:val="Tablaconcuadrcula"/>
        <w:tblW w:w="0" w:type="auto"/>
        <w:tblLook w:val="04A0" w:firstRow="1" w:lastRow="0" w:firstColumn="1" w:lastColumn="0" w:noHBand="0" w:noVBand="1"/>
      </w:tblPr>
      <w:tblGrid>
        <w:gridCol w:w="3245"/>
        <w:gridCol w:w="5583"/>
      </w:tblGrid>
      <w:tr w:rsidR="0084136D" w:rsidRPr="00BA7CC2" w14:paraId="33BFFBDC" w14:textId="77777777" w:rsidTr="00996BB9">
        <w:tc>
          <w:tcPr>
            <w:tcW w:w="0" w:type="auto"/>
            <w:shd w:val="clear" w:color="auto" w:fill="0070C0"/>
            <w:hideMark/>
          </w:tcPr>
          <w:p w14:paraId="3D2F9C0D" w14:textId="77777777" w:rsidR="0084136D" w:rsidRPr="00BA7CC2" w:rsidRDefault="0084136D" w:rsidP="00BA7CC2">
            <w:pPr>
              <w:spacing w:after="160" w:line="259" w:lineRule="auto"/>
              <w:jc w:val="both"/>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Responsable</w:t>
            </w:r>
          </w:p>
        </w:tc>
        <w:tc>
          <w:tcPr>
            <w:tcW w:w="0" w:type="auto"/>
            <w:shd w:val="clear" w:color="auto" w:fill="0070C0"/>
            <w:hideMark/>
          </w:tcPr>
          <w:p w14:paraId="66826740" w14:textId="77777777" w:rsidR="0084136D" w:rsidRPr="00BA7CC2" w:rsidRDefault="0084136D" w:rsidP="00BA7CC2">
            <w:pPr>
              <w:spacing w:after="160" w:line="259" w:lineRule="auto"/>
              <w:jc w:val="both"/>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Responsabilidad</w:t>
            </w:r>
          </w:p>
        </w:tc>
      </w:tr>
      <w:tr w:rsidR="0084136D" w:rsidRPr="00BA7CC2" w14:paraId="2E385606" w14:textId="77777777" w:rsidTr="0084136D">
        <w:tc>
          <w:tcPr>
            <w:tcW w:w="0" w:type="auto"/>
            <w:hideMark/>
          </w:tcPr>
          <w:p w14:paraId="672DF931"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Subgerencia Científica</w:t>
            </w:r>
          </w:p>
        </w:tc>
        <w:tc>
          <w:tcPr>
            <w:tcW w:w="0" w:type="auto"/>
            <w:hideMark/>
          </w:tcPr>
          <w:p w14:paraId="69BDB792"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Garantizar la implementación, seguimiento y evaluación del Subproceso de Gestión Integral de la Atención en Salud Mental, promoviendo su mejoramiento continuo.</w:t>
            </w:r>
          </w:p>
        </w:tc>
      </w:tr>
      <w:tr w:rsidR="0084136D" w:rsidRPr="00BA7CC2" w14:paraId="22B377FC" w14:textId="77777777" w:rsidTr="0084136D">
        <w:tc>
          <w:tcPr>
            <w:tcW w:w="0" w:type="auto"/>
            <w:hideMark/>
          </w:tcPr>
          <w:p w14:paraId="4248F2EE"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lastRenderedPageBreak/>
              <w:t>Coordinación de Consulta Externa</w:t>
            </w:r>
          </w:p>
        </w:tc>
        <w:tc>
          <w:tcPr>
            <w:tcW w:w="0" w:type="auto"/>
            <w:hideMark/>
          </w:tcPr>
          <w:p w14:paraId="039C6AA2"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Coordinar la implementación del subproceso en los servicios de consulta externa y favorecer la articulación de las acciones de atención en salud mental.</w:t>
            </w:r>
          </w:p>
        </w:tc>
      </w:tr>
      <w:tr w:rsidR="0084136D" w:rsidRPr="00BA7CC2" w14:paraId="66C21D7A" w14:textId="77777777" w:rsidTr="0084136D">
        <w:tc>
          <w:tcPr>
            <w:tcW w:w="0" w:type="auto"/>
            <w:hideMark/>
          </w:tcPr>
          <w:p w14:paraId="5A0EBBB0"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Coordinación de Promoción y Mantenimiento de la Salud</w:t>
            </w:r>
          </w:p>
        </w:tc>
        <w:tc>
          <w:tcPr>
            <w:tcW w:w="0" w:type="auto"/>
            <w:hideMark/>
          </w:tcPr>
          <w:p w14:paraId="0243312C"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Articular las acciones de promoción de la salud mental, prevención, identificación de factores de riesgo, educación y seguimiento de la población.</w:t>
            </w:r>
          </w:p>
        </w:tc>
      </w:tr>
      <w:tr w:rsidR="0084136D" w:rsidRPr="00BA7CC2" w14:paraId="0CC15BCA" w14:textId="77777777" w:rsidTr="0084136D">
        <w:tc>
          <w:tcPr>
            <w:tcW w:w="0" w:type="auto"/>
            <w:hideMark/>
          </w:tcPr>
          <w:p w14:paraId="3FF1CFE0"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Coordinación de Urgencias</w:t>
            </w:r>
          </w:p>
        </w:tc>
        <w:tc>
          <w:tcPr>
            <w:tcW w:w="0" w:type="auto"/>
            <w:hideMark/>
          </w:tcPr>
          <w:p w14:paraId="3AC0AD33"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Garantizar la identificación y atención oportuna de situaciones de riesgo en salud mental y la activación de las rutas institucionales cuando corresponda.</w:t>
            </w:r>
          </w:p>
        </w:tc>
      </w:tr>
      <w:tr w:rsidR="0084136D" w:rsidRPr="00BA7CC2" w14:paraId="4F45DC66" w14:textId="77777777" w:rsidTr="0084136D">
        <w:tc>
          <w:tcPr>
            <w:tcW w:w="0" w:type="auto"/>
            <w:hideMark/>
          </w:tcPr>
          <w:p w14:paraId="70EB1B30"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Psicólogos</w:t>
            </w:r>
          </w:p>
        </w:tc>
        <w:tc>
          <w:tcPr>
            <w:tcW w:w="0" w:type="auto"/>
            <w:hideMark/>
          </w:tcPr>
          <w:p w14:paraId="067EF33B"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Realizar valoración, intervención, seguimiento y atención psicológica de los usuarios, de acuerdo con sus competencias, así como apoyar la identificación y manejo del riesgo en salud mental.</w:t>
            </w:r>
          </w:p>
        </w:tc>
      </w:tr>
      <w:tr w:rsidR="0084136D" w:rsidRPr="00BA7CC2" w14:paraId="2B4F398A" w14:textId="77777777" w:rsidTr="0084136D">
        <w:tc>
          <w:tcPr>
            <w:tcW w:w="0" w:type="auto"/>
            <w:hideMark/>
          </w:tcPr>
          <w:p w14:paraId="46251736"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Médicos generales</w:t>
            </w:r>
          </w:p>
        </w:tc>
        <w:tc>
          <w:tcPr>
            <w:tcW w:w="0" w:type="auto"/>
            <w:hideMark/>
          </w:tcPr>
          <w:p w14:paraId="17F84A83"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Realizar valoración clínica, identificación y clasificación del riesgo, diagnóstico, formulación del plan de atención, intervención y activación de rutas cuando corresponda.</w:t>
            </w:r>
          </w:p>
        </w:tc>
      </w:tr>
      <w:tr w:rsidR="0084136D" w:rsidRPr="00BA7CC2" w14:paraId="371567E5" w14:textId="77777777" w:rsidTr="0084136D">
        <w:tc>
          <w:tcPr>
            <w:tcW w:w="0" w:type="auto"/>
            <w:hideMark/>
          </w:tcPr>
          <w:p w14:paraId="3883DDD4"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Enfermeros profesionales</w:t>
            </w:r>
          </w:p>
        </w:tc>
        <w:tc>
          <w:tcPr>
            <w:tcW w:w="0" w:type="auto"/>
            <w:hideMark/>
          </w:tcPr>
          <w:p w14:paraId="35E1EB87"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Participar en la identificación de necesidades y factores de riesgo, tamizaje, educación, canalización, seguimiento y activación de rutas de atención.</w:t>
            </w:r>
          </w:p>
        </w:tc>
      </w:tr>
      <w:tr w:rsidR="0084136D" w:rsidRPr="00BA7CC2" w14:paraId="37B4EE93" w14:textId="77777777" w:rsidTr="0084136D">
        <w:tc>
          <w:tcPr>
            <w:tcW w:w="0" w:type="auto"/>
            <w:hideMark/>
          </w:tcPr>
          <w:p w14:paraId="4B3F8B77"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Auxiliares de enfermería</w:t>
            </w:r>
          </w:p>
        </w:tc>
        <w:tc>
          <w:tcPr>
            <w:tcW w:w="0" w:type="auto"/>
            <w:hideMark/>
          </w:tcPr>
          <w:p w14:paraId="5FD634D0"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Apoyar las actividades de identificación, orientación, canalización, educación, seguimiento y demás acciones propias de su competencia.</w:t>
            </w:r>
          </w:p>
        </w:tc>
      </w:tr>
      <w:tr w:rsidR="0084136D" w:rsidRPr="00BA7CC2" w14:paraId="5A84E09A" w14:textId="77777777" w:rsidTr="0084136D">
        <w:tc>
          <w:tcPr>
            <w:tcW w:w="0" w:type="auto"/>
            <w:hideMark/>
          </w:tcPr>
          <w:p w14:paraId="33313D2B"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Personal de admisiones</w:t>
            </w:r>
          </w:p>
        </w:tc>
        <w:tc>
          <w:tcPr>
            <w:tcW w:w="0" w:type="auto"/>
            <w:hideMark/>
          </w:tcPr>
          <w:p w14:paraId="03046434"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Facilitar el acceso y orientación inicial del usuario, identificando y canalizando oportunamente situaciones que requieran atención en salud mental.</w:t>
            </w:r>
          </w:p>
        </w:tc>
      </w:tr>
      <w:tr w:rsidR="0084136D" w:rsidRPr="00BA7CC2" w14:paraId="20AEC643" w14:textId="77777777" w:rsidTr="0084136D">
        <w:tc>
          <w:tcPr>
            <w:tcW w:w="0" w:type="auto"/>
            <w:hideMark/>
          </w:tcPr>
          <w:p w14:paraId="36A95940"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Referencia y Contrarreferencia</w:t>
            </w:r>
          </w:p>
        </w:tc>
        <w:tc>
          <w:tcPr>
            <w:tcW w:w="0" w:type="auto"/>
            <w:hideMark/>
          </w:tcPr>
          <w:p w14:paraId="19D1CCE9"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Gestionar las remisiones y contrarreferencias requeridas, favoreciendo la continuidad del cuidado y el acceso oportuno a servicios de mayor complejidad.</w:t>
            </w:r>
          </w:p>
        </w:tc>
      </w:tr>
      <w:tr w:rsidR="0084136D" w:rsidRPr="00BA7CC2" w14:paraId="6CD6D720" w14:textId="77777777" w:rsidTr="0084136D">
        <w:tc>
          <w:tcPr>
            <w:tcW w:w="0" w:type="auto"/>
            <w:hideMark/>
          </w:tcPr>
          <w:p w14:paraId="6BF8B3FB"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Vigilancia Epidemiológica</w:t>
            </w:r>
          </w:p>
        </w:tc>
        <w:tc>
          <w:tcPr>
            <w:tcW w:w="0" w:type="auto"/>
            <w:hideMark/>
          </w:tcPr>
          <w:p w14:paraId="3F1D9480"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 xml:space="preserve">Apoyar la vigilancia, notificación y seguimiento de los eventos de interés en salud pública </w:t>
            </w:r>
            <w:r w:rsidRPr="00BA7CC2">
              <w:rPr>
                <w:rFonts w:ascii="Arial" w:hAnsi="Arial" w:cs="Arial"/>
                <w:sz w:val="24"/>
                <w:szCs w:val="24"/>
                <w:lang w:val="es-419"/>
              </w:rPr>
              <w:lastRenderedPageBreak/>
              <w:t>relacionados con salud mental, de acuerdo con los lineamientos establecidos.</w:t>
            </w:r>
          </w:p>
        </w:tc>
      </w:tr>
      <w:tr w:rsidR="0084136D" w:rsidRPr="00BA7CC2" w14:paraId="20AB0E3E" w14:textId="77777777" w:rsidTr="0084136D">
        <w:tc>
          <w:tcPr>
            <w:tcW w:w="0" w:type="auto"/>
            <w:hideMark/>
          </w:tcPr>
          <w:p w14:paraId="0907E4A8"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lastRenderedPageBreak/>
              <w:t>Seguridad del Paciente</w:t>
            </w:r>
          </w:p>
        </w:tc>
        <w:tc>
          <w:tcPr>
            <w:tcW w:w="0" w:type="auto"/>
            <w:hideMark/>
          </w:tcPr>
          <w:p w14:paraId="0EDBC897"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Apoyar la identificación, gestión y seguimiento de riesgos relacionados con la seguridad del usuario durante la atención en salud mental.</w:t>
            </w:r>
          </w:p>
        </w:tc>
      </w:tr>
      <w:tr w:rsidR="0084136D" w:rsidRPr="00BA7CC2" w14:paraId="18F471B9" w14:textId="77777777" w:rsidTr="0084136D">
        <w:tc>
          <w:tcPr>
            <w:tcW w:w="0" w:type="auto"/>
            <w:hideMark/>
          </w:tcPr>
          <w:p w14:paraId="5D4E1BA4"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Equipo de Calidad</w:t>
            </w:r>
          </w:p>
        </w:tc>
        <w:tc>
          <w:tcPr>
            <w:tcW w:w="0" w:type="auto"/>
            <w:hideMark/>
          </w:tcPr>
          <w:p w14:paraId="1887487C"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Apoyar el seguimiento, evaluación, auditoría y mejoramiento continuo del subproceso y de los resultados relacionados con la calidad de la atención.</w:t>
            </w:r>
          </w:p>
        </w:tc>
      </w:tr>
      <w:tr w:rsidR="0084136D" w:rsidRPr="00BA7CC2" w14:paraId="0613218A" w14:textId="77777777" w:rsidTr="0084136D">
        <w:tc>
          <w:tcPr>
            <w:tcW w:w="0" w:type="auto"/>
            <w:hideMark/>
          </w:tcPr>
          <w:p w14:paraId="74BB9448"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Demás profesionales que identifiquen situaciones de riesgo en salud mental</w:t>
            </w:r>
          </w:p>
        </w:tc>
        <w:tc>
          <w:tcPr>
            <w:tcW w:w="0" w:type="auto"/>
            <w:hideMark/>
          </w:tcPr>
          <w:p w14:paraId="5B347256" w14:textId="77777777" w:rsidR="0084136D" w:rsidRPr="00BA7CC2" w:rsidRDefault="0084136D"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Identificar oportunamente situaciones de riesgo, realizar la canalización hacia el profesional competente, documentar la atención y activar las rutas institucionales cuando corresponda.</w:t>
            </w:r>
          </w:p>
        </w:tc>
      </w:tr>
    </w:tbl>
    <w:p w14:paraId="0FCF12B1" w14:textId="77777777" w:rsidR="0084136D" w:rsidRPr="00BA7CC2" w:rsidRDefault="0084136D" w:rsidP="00BA7CC2">
      <w:pPr>
        <w:jc w:val="both"/>
        <w:rPr>
          <w:rFonts w:ascii="Arial" w:hAnsi="Arial" w:cs="Arial"/>
          <w:sz w:val="24"/>
          <w:szCs w:val="24"/>
        </w:rPr>
      </w:pPr>
    </w:p>
    <w:p w14:paraId="7B60C409" w14:textId="77777777" w:rsidR="001F5F31" w:rsidRPr="00BA7CC2" w:rsidRDefault="001F5F31" w:rsidP="00BA7CC2">
      <w:pPr>
        <w:jc w:val="both"/>
        <w:rPr>
          <w:rFonts w:ascii="Arial" w:hAnsi="Arial" w:cs="Arial"/>
          <w:sz w:val="24"/>
          <w:szCs w:val="24"/>
        </w:rPr>
      </w:pPr>
      <w:r w:rsidRPr="00BA7CC2">
        <w:rPr>
          <w:rFonts w:ascii="Arial" w:hAnsi="Arial" w:cs="Arial"/>
          <w:sz w:val="24"/>
          <w:szCs w:val="24"/>
        </w:rPr>
        <w:t xml:space="preserve">Demás profesionales que identifiquen situaciones de riesgo en salud mental. </w:t>
      </w:r>
    </w:p>
    <w:p w14:paraId="1CCCEAC4" w14:textId="303A2152" w:rsidR="0084136D" w:rsidRPr="00BA7CC2" w:rsidRDefault="001F5F31" w:rsidP="00BA7CC2">
      <w:pPr>
        <w:jc w:val="both"/>
        <w:rPr>
          <w:rFonts w:ascii="Arial" w:hAnsi="Arial" w:cs="Arial"/>
          <w:sz w:val="24"/>
          <w:szCs w:val="24"/>
        </w:rPr>
      </w:pPr>
      <w:r w:rsidRPr="00BA7CC2">
        <w:rPr>
          <w:rFonts w:ascii="Arial" w:hAnsi="Arial" w:cs="Arial"/>
          <w:sz w:val="24"/>
          <w:szCs w:val="24"/>
        </w:rPr>
        <w:t>Cada profesional será responsable de realizar las acciones propias de su competencia, documentar oportunamente la atención brindada, activar las rutas institucionales cuando corresponda y garantizar la continuidad del proceso asistencial.</w:t>
      </w:r>
    </w:p>
    <w:p w14:paraId="354DD709" w14:textId="7E17D50E" w:rsidR="0084136D" w:rsidRPr="00BA7CC2" w:rsidRDefault="0084136D" w:rsidP="00BA7CC2">
      <w:pPr>
        <w:pStyle w:val="Ttulo1"/>
        <w:numPr>
          <w:ilvl w:val="0"/>
          <w:numId w:val="28"/>
        </w:numPr>
        <w:jc w:val="both"/>
        <w:rPr>
          <w:rFonts w:cs="Arial"/>
          <w:szCs w:val="24"/>
        </w:rPr>
      </w:pPr>
      <w:r w:rsidRPr="00BA7CC2">
        <w:rPr>
          <w:rFonts w:cs="Arial"/>
          <w:szCs w:val="24"/>
        </w:rPr>
        <w:t xml:space="preserve">ENFOQUE DIFERENCIAL: </w:t>
      </w:r>
    </w:p>
    <w:p w14:paraId="2FAECCBD" w14:textId="63489C1D" w:rsidR="0084136D" w:rsidRPr="00BA7CC2" w:rsidRDefault="00996BB9" w:rsidP="00BA7CC2">
      <w:pPr>
        <w:jc w:val="both"/>
        <w:rPr>
          <w:rFonts w:ascii="Arial" w:hAnsi="Arial" w:cs="Arial"/>
          <w:sz w:val="24"/>
          <w:szCs w:val="24"/>
        </w:rPr>
      </w:pPr>
      <w:r w:rsidRPr="00BA7CC2">
        <w:rPr>
          <w:rFonts w:ascii="Arial" w:hAnsi="Arial" w:cs="Arial"/>
          <w:sz w:val="24"/>
          <w:szCs w:val="24"/>
        </w:rPr>
        <w:t>El Subproceso de Gestión Integral de la Atención en Salud Mental incorpora el enfoque diferencial como principio orientador de la atención, reconociendo las características particulares de las personas y grupos poblacionales y garantizando una atención integral, humanizada, segura y centrada en la persona. La atención debe considerar las diferencias relacionadas con edad, sexo, género, discapacidad, pertenencia étnica, orientación sexual, identidad de género, condición socioeconómica, territorialidad y otras condiciones de vulnerabilidad, adecuando las acciones de promoción, prevención, valoración, intervención, canalización, seguimiento y activación de rutas según las necesidades individuales, familiares y sociales de cada usuario. Asimismo, se debe garantizar el respeto por los derechos, la dignidad, la confidencialidad, la eliminación del estigma y la reducción de barreras de acceso a los servicios de salud mental.</w:t>
      </w:r>
    </w:p>
    <w:p w14:paraId="5C453DA6" w14:textId="04A65D28" w:rsidR="00996BB9" w:rsidRPr="00BA7CC2" w:rsidRDefault="0084136D" w:rsidP="00BA7CC2">
      <w:pPr>
        <w:pStyle w:val="Ttulo1"/>
        <w:numPr>
          <w:ilvl w:val="0"/>
          <w:numId w:val="28"/>
        </w:numPr>
        <w:jc w:val="both"/>
        <w:rPr>
          <w:rFonts w:cs="Arial"/>
          <w:szCs w:val="24"/>
        </w:rPr>
      </w:pPr>
      <w:r w:rsidRPr="00BA7CC2">
        <w:rPr>
          <w:rFonts w:cs="Arial"/>
          <w:szCs w:val="24"/>
        </w:rPr>
        <w:t xml:space="preserve">GENERALIDADES: </w:t>
      </w:r>
    </w:p>
    <w:p w14:paraId="12B9F6D8" w14:textId="77777777" w:rsidR="00996BB9" w:rsidRPr="00BA7CC2" w:rsidRDefault="00996BB9" w:rsidP="00BA7CC2">
      <w:pPr>
        <w:pStyle w:val="Sinespaciado"/>
        <w:jc w:val="both"/>
        <w:rPr>
          <w:rFonts w:ascii="Arial" w:hAnsi="Arial" w:cs="Arial"/>
          <w:sz w:val="24"/>
          <w:szCs w:val="24"/>
        </w:rPr>
      </w:pPr>
    </w:p>
    <w:p w14:paraId="61E94A37" w14:textId="2E53BA4A" w:rsidR="00F72EF6" w:rsidRPr="00BA7CC2" w:rsidRDefault="00996BB9" w:rsidP="00BA7CC2">
      <w:pPr>
        <w:pStyle w:val="Ttulo2"/>
        <w:numPr>
          <w:ilvl w:val="1"/>
          <w:numId w:val="28"/>
        </w:numPr>
        <w:jc w:val="both"/>
        <w:rPr>
          <w:rFonts w:cs="Arial"/>
          <w:szCs w:val="24"/>
        </w:rPr>
      </w:pPr>
      <w:r w:rsidRPr="00BA7CC2">
        <w:rPr>
          <w:rFonts w:cs="Arial"/>
          <w:szCs w:val="24"/>
        </w:rPr>
        <w:lastRenderedPageBreak/>
        <w:t>Definiciones</w:t>
      </w:r>
    </w:p>
    <w:p w14:paraId="20D43C1E" w14:textId="77777777" w:rsidR="00E5509A" w:rsidRPr="00BA7CC2" w:rsidRDefault="00E5509A" w:rsidP="00BA7CC2">
      <w:p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sz w:val="24"/>
          <w:szCs w:val="24"/>
          <w:lang w:eastAsia="es-CO"/>
        </w:rPr>
        <w:t>Para efectos del presente subproceso, se adoptan las siguientes definiciones:</w:t>
      </w:r>
    </w:p>
    <w:p w14:paraId="57C33193"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Atención Integral:</w:t>
      </w:r>
      <w:r w:rsidRPr="00BA7CC2">
        <w:rPr>
          <w:rFonts w:ascii="Arial" w:eastAsia="Times New Roman" w:hAnsi="Arial" w:cs="Arial"/>
          <w:sz w:val="24"/>
          <w:szCs w:val="24"/>
          <w:lang w:eastAsia="es-CO"/>
        </w:rPr>
        <w:t xml:space="preserve"> Conjunto de acciones de promoción, prevención, diagnóstico, tratamiento, rehabilitación, seguimiento y paliación, desarrolladas de manera continua, articulada e interdisciplinaria, orientadas a satisfacer las necesidades de salud de la persona, su familia y la comunidad.</w:t>
      </w:r>
    </w:p>
    <w:p w14:paraId="37B00586" w14:textId="77777777" w:rsidR="00996BB9" w:rsidRPr="00BA7CC2" w:rsidRDefault="00996BB9" w:rsidP="00BA7CC2">
      <w:pPr>
        <w:pStyle w:val="Prrafodelista"/>
        <w:spacing w:before="100" w:beforeAutospacing="1" w:after="100" w:afterAutospacing="1" w:line="240" w:lineRule="auto"/>
        <w:jc w:val="both"/>
        <w:rPr>
          <w:rFonts w:ascii="Arial" w:eastAsia="Times New Roman" w:hAnsi="Arial" w:cs="Arial"/>
          <w:sz w:val="24"/>
          <w:szCs w:val="24"/>
          <w:lang w:eastAsia="es-CO"/>
        </w:rPr>
      </w:pPr>
    </w:p>
    <w:p w14:paraId="29B6463A"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Atención Primaria en Salud (APS):</w:t>
      </w:r>
      <w:r w:rsidRPr="00BA7CC2">
        <w:rPr>
          <w:rFonts w:ascii="Arial" w:eastAsia="Times New Roman" w:hAnsi="Arial" w:cs="Arial"/>
          <w:sz w:val="24"/>
          <w:szCs w:val="24"/>
          <w:lang w:eastAsia="es-CO"/>
        </w:rPr>
        <w:t xml:space="preserve"> Estrategia de organización de los servicios de salud orientada a garantizar el acceso universal, la atención integral, la participación social, la gestión del riesgo y la coordinación intersectorial para mejorar las condiciones de salud de la población.</w:t>
      </w:r>
    </w:p>
    <w:p w14:paraId="50B0E128"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3DEAC0B8"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Canalización:</w:t>
      </w:r>
      <w:r w:rsidRPr="00BA7CC2">
        <w:rPr>
          <w:rFonts w:ascii="Arial" w:eastAsia="Times New Roman" w:hAnsi="Arial" w:cs="Arial"/>
          <w:sz w:val="24"/>
          <w:szCs w:val="24"/>
          <w:lang w:eastAsia="es-CO"/>
        </w:rPr>
        <w:t xml:space="preserve"> Proceso mediante el cual un usuario es orientado o remitido hacia un servicio, programa o institución competente para garantizar la continuidad de la atención de acuerdo con las necesidades identificadas durante la valoración.</w:t>
      </w:r>
    </w:p>
    <w:p w14:paraId="71F035BF"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02FEDD41"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Consulta de Salud Mental:</w:t>
      </w:r>
      <w:r w:rsidRPr="00BA7CC2">
        <w:rPr>
          <w:rFonts w:ascii="Arial" w:eastAsia="Times New Roman" w:hAnsi="Arial" w:cs="Arial"/>
          <w:sz w:val="24"/>
          <w:szCs w:val="24"/>
          <w:lang w:eastAsia="es-CO"/>
        </w:rPr>
        <w:t xml:space="preserve"> Atención brindada por profesionales competentes para la valoración, diagnóstico, intervención, seguimiento y rehabilitación de personas con alteraciones o factores de riesgo relacionados con la salud mental.</w:t>
      </w:r>
    </w:p>
    <w:p w14:paraId="067AAF4E"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68CD282F"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Continuidad del Cuidado:</w:t>
      </w:r>
      <w:r w:rsidRPr="00BA7CC2">
        <w:rPr>
          <w:rFonts w:ascii="Arial" w:eastAsia="Times New Roman" w:hAnsi="Arial" w:cs="Arial"/>
          <w:sz w:val="24"/>
          <w:szCs w:val="24"/>
          <w:lang w:eastAsia="es-CO"/>
        </w:rPr>
        <w:t xml:space="preserve"> Principio mediante el cual se garantiza que el usuario reciba atención de manera permanente, coordinada e integrada entre los diferentes servicios, profesionales e instituciones que participan en su proceso asistencial.</w:t>
      </w:r>
    </w:p>
    <w:p w14:paraId="218B7036"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19C1942C"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Determinantes Sociales de la Salud:</w:t>
      </w:r>
      <w:r w:rsidRPr="00BA7CC2">
        <w:rPr>
          <w:rFonts w:ascii="Arial" w:eastAsia="Times New Roman" w:hAnsi="Arial" w:cs="Arial"/>
          <w:sz w:val="24"/>
          <w:szCs w:val="24"/>
          <w:lang w:eastAsia="es-CO"/>
        </w:rPr>
        <w:t xml:space="preserve"> Condiciones sociales, económicas, culturales, ambientales y políticas que influyen en el estado de salud de las personas y que pueden actuar como factores protectores o factores de riesgo para la salud mental.</w:t>
      </w:r>
    </w:p>
    <w:p w14:paraId="325E25CA"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2D6653C5"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Enfoque Diferencial:</w:t>
      </w:r>
      <w:r w:rsidRPr="00BA7CC2">
        <w:rPr>
          <w:rFonts w:ascii="Arial" w:eastAsia="Times New Roman" w:hAnsi="Arial" w:cs="Arial"/>
          <w:sz w:val="24"/>
          <w:szCs w:val="24"/>
          <w:lang w:eastAsia="es-CO"/>
        </w:rPr>
        <w:t xml:space="preserve"> Principio que orienta la atención considerando las características particulares de las personas y los grupos poblacionales, de acuerdo con su edad, sexo, género, discapacidad, pertenencia étnica, orientación sexual, identidad de género, condición socioeconómica, territorialidad u otras condiciones de vulnerabilidad.</w:t>
      </w:r>
    </w:p>
    <w:p w14:paraId="49A86A75"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76BCF4DA"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Equipo Interdisciplinario:</w:t>
      </w:r>
      <w:r w:rsidRPr="00BA7CC2">
        <w:rPr>
          <w:rFonts w:ascii="Arial" w:eastAsia="Times New Roman" w:hAnsi="Arial" w:cs="Arial"/>
          <w:sz w:val="24"/>
          <w:szCs w:val="24"/>
          <w:lang w:eastAsia="es-CO"/>
        </w:rPr>
        <w:t xml:space="preserve"> Grupo de profesionales de diferentes disciplinas que intervienen de manera coordinada en la valoración, tratamiento, </w:t>
      </w:r>
      <w:r w:rsidRPr="00BA7CC2">
        <w:rPr>
          <w:rFonts w:ascii="Arial" w:eastAsia="Times New Roman" w:hAnsi="Arial" w:cs="Arial"/>
          <w:sz w:val="24"/>
          <w:szCs w:val="24"/>
          <w:lang w:eastAsia="es-CO"/>
        </w:rPr>
        <w:lastRenderedPageBreak/>
        <w:t>seguimiento y rehabilitación del usuario, integrando conocimientos y competencias para garantizar una atención integral.</w:t>
      </w:r>
    </w:p>
    <w:p w14:paraId="4A0A56D1"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51BEA1C2"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Factores de Protección:</w:t>
      </w:r>
      <w:r w:rsidRPr="00BA7CC2">
        <w:rPr>
          <w:rFonts w:ascii="Arial" w:eastAsia="Times New Roman" w:hAnsi="Arial" w:cs="Arial"/>
          <w:sz w:val="24"/>
          <w:szCs w:val="24"/>
          <w:lang w:eastAsia="es-CO"/>
        </w:rPr>
        <w:t xml:space="preserve"> Condiciones individuales, familiares, sociales o comunitarias que fortalecen la capacidad de las personas para afrontar situaciones adversas y disminuyen la probabilidad de presentar trastornos mentales o eventos relacionados con la salud mental.</w:t>
      </w:r>
    </w:p>
    <w:p w14:paraId="1950638C"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09E7B5A3"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Factores de Riesgo:</w:t>
      </w:r>
      <w:r w:rsidRPr="00BA7CC2">
        <w:rPr>
          <w:rFonts w:ascii="Arial" w:eastAsia="Times New Roman" w:hAnsi="Arial" w:cs="Arial"/>
          <w:sz w:val="24"/>
          <w:szCs w:val="24"/>
          <w:lang w:eastAsia="es-CO"/>
        </w:rPr>
        <w:t xml:space="preserve"> Características o circunstancias biológicas, psicológicas, familiares, sociales o ambientales que aumentan la probabilidad de desarrollar trastornos mentales, consumo de sustancias psicoactivas, conducta suicida u otras afectaciones relacionadas con la salud mental.</w:t>
      </w:r>
    </w:p>
    <w:p w14:paraId="192FD27C"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249545D8"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Gestión Integral del Riesgo en Salud (GIRS):</w:t>
      </w:r>
      <w:r w:rsidRPr="00BA7CC2">
        <w:rPr>
          <w:rFonts w:ascii="Arial" w:eastAsia="Times New Roman" w:hAnsi="Arial" w:cs="Arial"/>
          <w:sz w:val="24"/>
          <w:szCs w:val="24"/>
          <w:lang w:eastAsia="es-CO"/>
        </w:rPr>
        <w:t xml:space="preserve"> Proceso sistemático mediante el cual se identifican, analizan, priorizan, intervienen y monitorean los riesgos que pueden afectar la salud de la población, con el propósito de prevenir su ocurrencia o disminuir su impacto.</w:t>
      </w:r>
    </w:p>
    <w:p w14:paraId="0DA52964"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708F36E6"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Intervención en Crisis:</w:t>
      </w:r>
      <w:r w:rsidRPr="00BA7CC2">
        <w:rPr>
          <w:rFonts w:ascii="Arial" w:eastAsia="Times New Roman" w:hAnsi="Arial" w:cs="Arial"/>
          <w:sz w:val="24"/>
          <w:szCs w:val="24"/>
          <w:lang w:eastAsia="es-CO"/>
        </w:rPr>
        <w:t xml:space="preserve"> Conjunto de acciones inmediatas dirigidas a estabilizar emocionalmente a una persona que presenta una crisis psicológica, disminuyendo el riesgo para su vida o integridad y facilitando su acceso a la atención especializada cuando sea necesario.</w:t>
      </w:r>
    </w:p>
    <w:p w14:paraId="4139FE9B"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7D90A5D4"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Promoción de la Salud Mental:</w:t>
      </w:r>
      <w:r w:rsidRPr="00BA7CC2">
        <w:rPr>
          <w:rFonts w:ascii="Arial" w:eastAsia="Times New Roman" w:hAnsi="Arial" w:cs="Arial"/>
          <w:sz w:val="24"/>
          <w:szCs w:val="24"/>
          <w:lang w:eastAsia="es-CO"/>
        </w:rPr>
        <w:t xml:space="preserve"> Conjunto de estrategias orientadas a fortalecer las capacidades individuales, familiares y comunitarias que favorecen el bienestar emocional, psicológico y social de la población, potenciando los factores protectores y la calidad de vida.</w:t>
      </w:r>
    </w:p>
    <w:p w14:paraId="3136A669"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544E0D21"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Referencia y Contrarreferencia:</w:t>
      </w:r>
      <w:r w:rsidRPr="00BA7CC2">
        <w:rPr>
          <w:rFonts w:ascii="Arial" w:eastAsia="Times New Roman" w:hAnsi="Arial" w:cs="Arial"/>
          <w:sz w:val="24"/>
          <w:szCs w:val="24"/>
          <w:lang w:eastAsia="es-CO"/>
        </w:rPr>
        <w:t xml:space="preserve"> Mecanismo mediante el cual se garantiza la continuidad de la atención entre diferentes niveles de complejidad o prestadores de servicios de salud, asegurando el intercambio oportuno de información clínica y el seguimiento del usuario.</w:t>
      </w:r>
    </w:p>
    <w:p w14:paraId="515A9383"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65723DA0"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Ruta Integral de Atención en Salud (RIAS):</w:t>
      </w:r>
      <w:r w:rsidRPr="00BA7CC2">
        <w:rPr>
          <w:rFonts w:ascii="Arial" w:eastAsia="Times New Roman" w:hAnsi="Arial" w:cs="Arial"/>
          <w:sz w:val="24"/>
          <w:szCs w:val="24"/>
          <w:lang w:eastAsia="es-CO"/>
        </w:rPr>
        <w:t xml:space="preserve"> Conjunto organizado de acciones, intervenciones y procedimientos definidos para garantizar la atención integral de la población, de acuerdo con el curso de vida, las condiciones de salud y las prioridades establecidas por el Sistema General de Seguridad Social en Salud.</w:t>
      </w:r>
    </w:p>
    <w:p w14:paraId="6AB30ECB"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01D1A997"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Salud Mental:</w:t>
      </w:r>
      <w:r w:rsidRPr="00BA7CC2">
        <w:rPr>
          <w:rFonts w:ascii="Arial" w:eastAsia="Times New Roman" w:hAnsi="Arial" w:cs="Arial"/>
          <w:sz w:val="24"/>
          <w:szCs w:val="24"/>
          <w:lang w:eastAsia="es-CO"/>
        </w:rPr>
        <w:t xml:space="preserve"> Estado dinámico que se expresa en la vida cotidiana mediante el comportamiento y la interacción de las personas con su entorno, permitiéndoles desarrollar sus capacidades cognitivas, emocionales y </w:t>
      </w:r>
      <w:r w:rsidRPr="00BA7CC2">
        <w:rPr>
          <w:rFonts w:ascii="Arial" w:eastAsia="Times New Roman" w:hAnsi="Arial" w:cs="Arial"/>
          <w:sz w:val="24"/>
          <w:szCs w:val="24"/>
          <w:lang w:eastAsia="es-CO"/>
        </w:rPr>
        <w:lastRenderedPageBreak/>
        <w:t>sociales, afrontar las tensiones normales de la vida, trabajar de forma productiva y contribuir al bienestar de su comunidad.</w:t>
      </w:r>
    </w:p>
    <w:p w14:paraId="6363C492"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692EBAC3"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Seguimiento:</w:t>
      </w:r>
      <w:r w:rsidRPr="00BA7CC2">
        <w:rPr>
          <w:rFonts w:ascii="Arial" w:eastAsia="Times New Roman" w:hAnsi="Arial" w:cs="Arial"/>
          <w:sz w:val="24"/>
          <w:szCs w:val="24"/>
          <w:lang w:eastAsia="es-CO"/>
        </w:rPr>
        <w:t xml:space="preserve"> Actividad sistemática realizada posterior a la intervención inicial con el propósito de evaluar la evolución clínica del usuario, la adherencia al tratamiento, el cumplimiento del plan de atención y la necesidad de realizar ajustes terapéuticos o activar nuevas intervenciones.</w:t>
      </w:r>
    </w:p>
    <w:p w14:paraId="40BFC8CB"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01E5A3F2"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Tamizaje:</w:t>
      </w:r>
      <w:r w:rsidRPr="00BA7CC2">
        <w:rPr>
          <w:rFonts w:ascii="Arial" w:eastAsia="Times New Roman" w:hAnsi="Arial" w:cs="Arial"/>
          <w:sz w:val="24"/>
          <w:szCs w:val="24"/>
          <w:lang w:eastAsia="es-CO"/>
        </w:rPr>
        <w:t xml:space="preserve"> Procedimiento sistemático de evaluación inicial mediante instrumentos validados que permite identificar personas con riesgo de presentar alteraciones en salud mental, facilitando su detección temprana y la priorización para valoración integral.</w:t>
      </w:r>
    </w:p>
    <w:p w14:paraId="61CF3009"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18AA5F62" w14:textId="77777777" w:rsidR="00996BB9"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Trastorno Mental:</w:t>
      </w:r>
      <w:r w:rsidRPr="00BA7CC2">
        <w:rPr>
          <w:rFonts w:ascii="Arial" w:eastAsia="Times New Roman" w:hAnsi="Arial" w:cs="Arial"/>
          <w:sz w:val="24"/>
          <w:szCs w:val="24"/>
          <w:lang w:eastAsia="es-CO"/>
        </w:rPr>
        <w:t xml:space="preserve"> Alteración clínicamente significativa de la cognición, la regulación emocional o el comportamiento de una persona, asociada a disfunción en procesos psicológicos, biológicos o del desarrollo, que afecta su funcionamiento personal, familiar, social o laboral.</w:t>
      </w:r>
    </w:p>
    <w:p w14:paraId="5B1A0073" w14:textId="77777777" w:rsidR="00996BB9" w:rsidRPr="00BA7CC2" w:rsidRDefault="00996BB9" w:rsidP="00BA7CC2">
      <w:pPr>
        <w:pStyle w:val="Prrafodelista"/>
        <w:jc w:val="both"/>
        <w:rPr>
          <w:rFonts w:ascii="Arial" w:eastAsia="Times New Roman" w:hAnsi="Arial" w:cs="Arial"/>
          <w:b/>
          <w:bCs/>
          <w:sz w:val="24"/>
          <w:szCs w:val="24"/>
          <w:lang w:eastAsia="es-CO"/>
        </w:rPr>
      </w:pPr>
    </w:p>
    <w:p w14:paraId="1F4092FD" w14:textId="7FAFDC7B" w:rsidR="00E5509A" w:rsidRPr="00BA7CC2" w:rsidRDefault="00E5509A" w:rsidP="00BA7CC2">
      <w:pPr>
        <w:pStyle w:val="Prrafodelista"/>
        <w:numPr>
          <w:ilvl w:val="0"/>
          <w:numId w:val="30"/>
        </w:numPr>
        <w:spacing w:before="100" w:beforeAutospacing="1" w:after="100" w:afterAutospacing="1" w:line="240" w:lineRule="auto"/>
        <w:jc w:val="both"/>
        <w:rPr>
          <w:rFonts w:ascii="Arial" w:eastAsia="Times New Roman" w:hAnsi="Arial" w:cs="Arial"/>
          <w:sz w:val="24"/>
          <w:szCs w:val="24"/>
          <w:lang w:eastAsia="es-CO"/>
        </w:rPr>
      </w:pPr>
      <w:r w:rsidRPr="00BA7CC2">
        <w:rPr>
          <w:rFonts w:ascii="Arial" w:eastAsia="Times New Roman" w:hAnsi="Arial" w:cs="Arial"/>
          <w:b/>
          <w:bCs/>
          <w:sz w:val="24"/>
          <w:szCs w:val="24"/>
          <w:lang w:eastAsia="es-CO"/>
        </w:rPr>
        <w:t>Valoración Integral:</w:t>
      </w:r>
      <w:r w:rsidRPr="00BA7CC2">
        <w:rPr>
          <w:rFonts w:ascii="Arial" w:eastAsia="Times New Roman" w:hAnsi="Arial" w:cs="Arial"/>
          <w:sz w:val="24"/>
          <w:szCs w:val="24"/>
          <w:lang w:eastAsia="es-CO"/>
        </w:rPr>
        <w:t xml:space="preserve"> Proceso interdisciplinario de evaluación clínica, psicológica, familiar y social que permite identificar las necesidades del usuario, establecer un diagnóstico, clasificar el nivel de riesgo y formular un plan integral de atención.</w:t>
      </w:r>
    </w:p>
    <w:p w14:paraId="022497A0" w14:textId="3E61027C" w:rsidR="00996BB9" w:rsidRPr="00BA7CC2" w:rsidRDefault="00996BB9" w:rsidP="00BA7CC2">
      <w:pPr>
        <w:pStyle w:val="Ttulo2"/>
        <w:numPr>
          <w:ilvl w:val="1"/>
          <w:numId w:val="28"/>
        </w:numPr>
        <w:jc w:val="both"/>
        <w:rPr>
          <w:rFonts w:cs="Arial"/>
          <w:szCs w:val="24"/>
        </w:rPr>
      </w:pPr>
      <w:r w:rsidRPr="00BA7CC2">
        <w:rPr>
          <w:rFonts w:cs="Arial"/>
          <w:szCs w:val="24"/>
        </w:rPr>
        <w:t>Proceso Misional: Consulta Externa</w:t>
      </w:r>
    </w:p>
    <w:p w14:paraId="29FE9132" w14:textId="77777777" w:rsidR="00996BB9" w:rsidRPr="00BA7CC2" w:rsidRDefault="00996BB9" w:rsidP="00BA7CC2">
      <w:pPr>
        <w:jc w:val="both"/>
        <w:rPr>
          <w:rFonts w:ascii="Arial" w:hAnsi="Arial" w:cs="Arial"/>
          <w:sz w:val="24"/>
          <w:szCs w:val="24"/>
        </w:rPr>
      </w:pPr>
    </w:p>
    <w:p w14:paraId="39F4A307" w14:textId="42875C99" w:rsidR="008D7352" w:rsidRPr="00BA7CC2" w:rsidRDefault="00996BB9" w:rsidP="00BA7CC2">
      <w:pPr>
        <w:jc w:val="both"/>
        <w:rPr>
          <w:rFonts w:ascii="Arial" w:hAnsi="Arial" w:cs="Arial"/>
          <w:sz w:val="24"/>
          <w:szCs w:val="24"/>
        </w:rPr>
      </w:pPr>
      <w:r w:rsidRPr="00BA7CC2">
        <w:rPr>
          <w:rFonts w:ascii="Arial" w:hAnsi="Arial" w:cs="Arial"/>
          <w:sz w:val="24"/>
          <w:szCs w:val="24"/>
        </w:rPr>
        <w:t>Este subproceso hace parte del proceso de Consulta Externa de la E.S.E. Bellosalud y se desarrolla de manera articulada con los servicios asistenciales, los programas de Promoción y Mantenimiento de la Salud, las actividades extramurales, la estrategia de Atención Primaria en Salud y los procesos institucionales de apoyo, garantizando la atención integral de la población con necesidades en salud mental.</w:t>
      </w:r>
    </w:p>
    <w:p w14:paraId="44164D1A" w14:textId="77777777" w:rsidR="00996BB9" w:rsidRPr="00BA7CC2" w:rsidRDefault="00996BB9" w:rsidP="00BA7CC2">
      <w:pPr>
        <w:jc w:val="both"/>
        <w:rPr>
          <w:rFonts w:ascii="Arial" w:hAnsi="Arial" w:cs="Arial"/>
          <w:sz w:val="24"/>
          <w:szCs w:val="24"/>
        </w:rPr>
      </w:pPr>
    </w:p>
    <w:p w14:paraId="37B15E24" w14:textId="47ADEAF7" w:rsidR="001B03B5" w:rsidRPr="00BA7CC2" w:rsidRDefault="00996BB9" w:rsidP="00BA7CC2">
      <w:pPr>
        <w:pStyle w:val="Ttulo2"/>
        <w:numPr>
          <w:ilvl w:val="1"/>
          <w:numId w:val="28"/>
        </w:numPr>
        <w:jc w:val="both"/>
        <w:rPr>
          <w:rFonts w:cs="Arial"/>
          <w:szCs w:val="24"/>
        </w:rPr>
      </w:pPr>
      <w:r w:rsidRPr="00BA7CC2">
        <w:rPr>
          <w:rFonts w:cs="Arial"/>
          <w:szCs w:val="24"/>
        </w:rPr>
        <w:t>Componentes del subproceso</w:t>
      </w:r>
    </w:p>
    <w:p w14:paraId="1D1745C6" w14:textId="77777777" w:rsidR="00996BB9" w:rsidRPr="00BA7CC2" w:rsidRDefault="00996BB9" w:rsidP="00BA7CC2">
      <w:pPr>
        <w:jc w:val="both"/>
        <w:rPr>
          <w:rFonts w:ascii="Arial" w:hAnsi="Arial" w:cs="Arial"/>
          <w:sz w:val="24"/>
          <w:szCs w:val="24"/>
        </w:rPr>
      </w:pPr>
    </w:p>
    <w:p w14:paraId="2A756542" w14:textId="77777777" w:rsidR="001B03B5" w:rsidRPr="00BA7CC2" w:rsidRDefault="001B03B5" w:rsidP="00BA7CC2">
      <w:pPr>
        <w:jc w:val="both"/>
        <w:rPr>
          <w:rFonts w:ascii="Arial" w:hAnsi="Arial" w:cs="Arial"/>
          <w:sz w:val="24"/>
          <w:szCs w:val="24"/>
        </w:rPr>
      </w:pPr>
      <w:r w:rsidRPr="00BA7CC2">
        <w:rPr>
          <w:rFonts w:ascii="Arial" w:hAnsi="Arial" w:cs="Arial"/>
          <w:sz w:val="24"/>
          <w:szCs w:val="24"/>
        </w:rPr>
        <w:t>El Subproceso de Gestión Integral de la Atención en Salud Mental se encuentra conformado por ocho componentes estratégicos que permiten garantizar la continuidad del cuidado.</w:t>
      </w:r>
    </w:p>
    <w:p w14:paraId="4E65D48C" w14:textId="77777777" w:rsidR="00996BB9" w:rsidRPr="00BA7CC2" w:rsidRDefault="00996BB9" w:rsidP="00BA7CC2">
      <w:pPr>
        <w:jc w:val="both"/>
        <w:rPr>
          <w:rFonts w:ascii="Arial" w:hAnsi="Arial" w:cs="Arial"/>
          <w:sz w:val="24"/>
          <w:szCs w:val="24"/>
        </w:rPr>
      </w:pPr>
    </w:p>
    <w:p w14:paraId="6DA9A570" w14:textId="77777777" w:rsidR="006E3E6F" w:rsidRPr="00BA7CC2" w:rsidRDefault="006E3E6F" w:rsidP="00BA7CC2">
      <w:pPr>
        <w:pStyle w:val="Ttulo2"/>
        <w:numPr>
          <w:ilvl w:val="1"/>
          <w:numId w:val="28"/>
        </w:numPr>
        <w:jc w:val="both"/>
        <w:rPr>
          <w:rFonts w:cs="Arial"/>
          <w:szCs w:val="24"/>
        </w:rPr>
      </w:pPr>
      <w:r w:rsidRPr="00BA7CC2">
        <w:rPr>
          <w:rFonts w:cs="Arial"/>
          <w:szCs w:val="24"/>
        </w:rPr>
        <w:lastRenderedPageBreak/>
        <w:t>Promoción de la Salud Mental</w:t>
      </w:r>
    </w:p>
    <w:p w14:paraId="61CEAECE" w14:textId="77777777" w:rsidR="00996BB9" w:rsidRPr="00BA7CC2" w:rsidRDefault="00996BB9" w:rsidP="00BA7CC2">
      <w:pPr>
        <w:jc w:val="both"/>
        <w:rPr>
          <w:rFonts w:ascii="Arial" w:hAnsi="Arial" w:cs="Arial"/>
          <w:sz w:val="24"/>
          <w:szCs w:val="24"/>
        </w:rPr>
      </w:pPr>
    </w:p>
    <w:p w14:paraId="203C9926" w14:textId="77777777" w:rsidR="006E3E6F" w:rsidRPr="00BA7CC2" w:rsidRDefault="006E3E6F" w:rsidP="00BA7CC2">
      <w:pPr>
        <w:jc w:val="both"/>
        <w:rPr>
          <w:rFonts w:ascii="Arial" w:hAnsi="Arial" w:cs="Arial"/>
          <w:sz w:val="24"/>
          <w:szCs w:val="24"/>
        </w:rPr>
      </w:pPr>
      <w:r w:rsidRPr="00BA7CC2">
        <w:rPr>
          <w:rFonts w:ascii="Arial" w:hAnsi="Arial" w:cs="Arial"/>
          <w:sz w:val="24"/>
          <w:szCs w:val="24"/>
        </w:rPr>
        <w:t>Corresponde al conjunto de acciones orientadas al fortalecimiento de capacidades individuales, familiares y comunitarias que favorecen el bienestar emocional, psicológico y social de la población.</w:t>
      </w:r>
    </w:p>
    <w:p w14:paraId="4FCC0A2A" w14:textId="77777777" w:rsidR="006E3E6F" w:rsidRPr="00BA7CC2" w:rsidRDefault="006E3E6F" w:rsidP="00BA7CC2">
      <w:pPr>
        <w:jc w:val="both"/>
        <w:rPr>
          <w:rFonts w:ascii="Arial" w:hAnsi="Arial" w:cs="Arial"/>
          <w:sz w:val="24"/>
          <w:szCs w:val="24"/>
        </w:rPr>
      </w:pPr>
      <w:r w:rsidRPr="00BA7CC2">
        <w:rPr>
          <w:rFonts w:ascii="Arial" w:hAnsi="Arial" w:cs="Arial"/>
          <w:sz w:val="24"/>
          <w:szCs w:val="24"/>
        </w:rPr>
        <w:t>Las actividades de promoción incluyen:</w:t>
      </w:r>
    </w:p>
    <w:p w14:paraId="61AED269"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Educación para la salud mental. </w:t>
      </w:r>
    </w:p>
    <w:p w14:paraId="0ACAE83B"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Psicoeducación. </w:t>
      </w:r>
    </w:p>
    <w:p w14:paraId="253BC9FF"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Desarrollo de habilidades para la vida. </w:t>
      </w:r>
    </w:p>
    <w:p w14:paraId="01C0F5B6"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Estrategias de autocuidado. </w:t>
      </w:r>
    </w:p>
    <w:p w14:paraId="629EF1D3"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Promoción de la convivencia familiar. </w:t>
      </w:r>
    </w:p>
    <w:p w14:paraId="06B01A07"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Escuelas de padres. </w:t>
      </w:r>
    </w:p>
    <w:p w14:paraId="2CE33804"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Fortalecimiento de redes de apoyo. </w:t>
      </w:r>
    </w:p>
    <w:p w14:paraId="23E8B125"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Prevención del estigma asociado a los trastornos mentales. </w:t>
      </w:r>
    </w:p>
    <w:p w14:paraId="30E09B0E"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 xml:space="preserve">Jornadas comunitarias. </w:t>
      </w:r>
    </w:p>
    <w:p w14:paraId="33A92DEC" w14:textId="77777777" w:rsidR="006E3E6F" w:rsidRPr="00BA7CC2" w:rsidRDefault="006E3E6F" w:rsidP="00BA7CC2">
      <w:pPr>
        <w:pStyle w:val="Prrafodelista"/>
        <w:numPr>
          <w:ilvl w:val="0"/>
          <w:numId w:val="23"/>
        </w:numPr>
        <w:jc w:val="both"/>
        <w:rPr>
          <w:rFonts w:ascii="Arial" w:hAnsi="Arial" w:cs="Arial"/>
          <w:sz w:val="24"/>
          <w:szCs w:val="24"/>
        </w:rPr>
      </w:pPr>
      <w:r w:rsidRPr="00BA7CC2">
        <w:rPr>
          <w:rFonts w:ascii="Arial" w:hAnsi="Arial" w:cs="Arial"/>
          <w:sz w:val="24"/>
          <w:szCs w:val="24"/>
        </w:rPr>
        <w:t>Articulación con la estrategia SANAMENTE y demás programas municipales.</w:t>
      </w:r>
    </w:p>
    <w:p w14:paraId="68C55952" w14:textId="77777777" w:rsidR="00996BB9" w:rsidRPr="00BA7CC2" w:rsidRDefault="00996BB9" w:rsidP="00BA7CC2">
      <w:pPr>
        <w:pStyle w:val="Prrafodelista"/>
        <w:jc w:val="both"/>
        <w:rPr>
          <w:rFonts w:ascii="Arial" w:hAnsi="Arial" w:cs="Arial"/>
          <w:sz w:val="24"/>
          <w:szCs w:val="24"/>
        </w:rPr>
      </w:pPr>
    </w:p>
    <w:p w14:paraId="65013B88" w14:textId="77777777" w:rsidR="006E3E6F" w:rsidRPr="00BA7CC2" w:rsidRDefault="006E3E6F" w:rsidP="00BA7CC2">
      <w:pPr>
        <w:pStyle w:val="Ttulo2"/>
        <w:numPr>
          <w:ilvl w:val="1"/>
          <w:numId w:val="28"/>
        </w:numPr>
        <w:jc w:val="both"/>
        <w:rPr>
          <w:rFonts w:cs="Arial"/>
          <w:szCs w:val="24"/>
        </w:rPr>
      </w:pPr>
      <w:r w:rsidRPr="00BA7CC2">
        <w:rPr>
          <w:rFonts w:cs="Arial"/>
          <w:szCs w:val="24"/>
        </w:rPr>
        <w:t>Prevención de Problemas y Trastornos Mentales</w:t>
      </w:r>
    </w:p>
    <w:p w14:paraId="7BB25769" w14:textId="77777777" w:rsidR="00996BB9" w:rsidRPr="00BA7CC2" w:rsidRDefault="00996BB9" w:rsidP="00BA7CC2">
      <w:pPr>
        <w:jc w:val="both"/>
        <w:rPr>
          <w:rFonts w:ascii="Arial" w:hAnsi="Arial" w:cs="Arial"/>
          <w:sz w:val="24"/>
          <w:szCs w:val="24"/>
        </w:rPr>
      </w:pPr>
    </w:p>
    <w:p w14:paraId="7B55CEA8" w14:textId="77777777" w:rsidR="006E3E6F" w:rsidRPr="00BA7CC2" w:rsidRDefault="006E3E6F" w:rsidP="00BA7CC2">
      <w:pPr>
        <w:jc w:val="both"/>
        <w:rPr>
          <w:rFonts w:ascii="Arial" w:hAnsi="Arial" w:cs="Arial"/>
          <w:sz w:val="24"/>
          <w:szCs w:val="24"/>
        </w:rPr>
      </w:pPr>
      <w:r w:rsidRPr="00BA7CC2">
        <w:rPr>
          <w:rFonts w:ascii="Arial" w:hAnsi="Arial" w:cs="Arial"/>
          <w:sz w:val="24"/>
          <w:szCs w:val="24"/>
        </w:rPr>
        <w:t>Comprende las acciones destinadas a disminuir la aparición de factores de riesgo relacionados con trastornos mentales, conducta suicida, consumo de sustancias psicoactivas, violencias, crisis emocionales y demás eventos prioritarios en salud mental.</w:t>
      </w:r>
    </w:p>
    <w:p w14:paraId="25E605B5" w14:textId="77777777" w:rsidR="006E3E6F" w:rsidRPr="00BA7CC2" w:rsidRDefault="006E3E6F" w:rsidP="00BA7CC2">
      <w:pPr>
        <w:jc w:val="both"/>
        <w:rPr>
          <w:rFonts w:ascii="Arial" w:hAnsi="Arial" w:cs="Arial"/>
          <w:sz w:val="24"/>
          <w:szCs w:val="24"/>
        </w:rPr>
      </w:pPr>
      <w:r w:rsidRPr="00BA7CC2">
        <w:rPr>
          <w:rFonts w:ascii="Arial" w:hAnsi="Arial" w:cs="Arial"/>
          <w:sz w:val="24"/>
          <w:szCs w:val="24"/>
        </w:rPr>
        <w:t>Las estrategias preventivas incluyen:</w:t>
      </w:r>
    </w:p>
    <w:p w14:paraId="0475C234" w14:textId="77777777" w:rsidR="006E3E6F" w:rsidRPr="00BA7CC2" w:rsidRDefault="006E3E6F" w:rsidP="00BA7CC2">
      <w:pPr>
        <w:pStyle w:val="Prrafodelista"/>
        <w:numPr>
          <w:ilvl w:val="0"/>
          <w:numId w:val="24"/>
        </w:numPr>
        <w:jc w:val="both"/>
        <w:rPr>
          <w:rFonts w:ascii="Arial" w:hAnsi="Arial" w:cs="Arial"/>
          <w:sz w:val="24"/>
          <w:szCs w:val="24"/>
        </w:rPr>
      </w:pPr>
      <w:r w:rsidRPr="00BA7CC2">
        <w:rPr>
          <w:rFonts w:ascii="Arial" w:hAnsi="Arial" w:cs="Arial"/>
          <w:sz w:val="24"/>
          <w:szCs w:val="24"/>
        </w:rPr>
        <w:t xml:space="preserve">Identificación de factores de riesgo psicosocial. </w:t>
      </w:r>
    </w:p>
    <w:p w14:paraId="34A80960" w14:textId="77777777" w:rsidR="006E3E6F" w:rsidRPr="00BA7CC2" w:rsidRDefault="006E3E6F" w:rsidP="00BA7CC2">
      <w:pPr>
        <w:pStyle w:val="Prrafodelista"/>
        <w:numPr>
          <w:ilvl w:val="0"/>
          <w:numId w:val="24"/>
        </w:numPr>
        <w:jc w:val="both"/>
        <w:rPr>
          <w:rFonts w:ascii="Arial" w:hAnsi="Arial" w:cs="Arial"/>
          <w:sz w:val="24"/>
          <w:szCs w:val="24"/>
        </w:rPr>
      </w:pPr>
      <w:r w:rsidRPr="00BA7CC2">
        <w:rPr>
          <w:rFonts w:ascii="Arial" w:hAnsi="Arial" w:cs="Arial"/>
          <w:sz w:val="24"/>
          <w:szCs w:val="24"/>
        </w:rPr>
        <w:t xml:space="preserve">Detección de señales de alarma. </w:t>
      </w:r>
    </w:p>
    <w:p w14:paraId="2D7C8277" w14:textId="77777777" w:rsidR="006E3E6F" w:rsidRPr="00BA7CC2" w:rsidRDefault="006E3E6F" w:rsidP="00BA7CC2">
      <w:pPr>
        <w:pStyle w:val="Prrafodelista"/>
        <w:numPr>
          <w:ilvl w:val="0"/>
          <w:numId w:val="24"/>
        </w:numPr>
        <w:jc w:val="both"/>
        <w:rPr>
          <w:rFonts w:ascii="Arial" w:hAnsi="Arial" w:cs="Arial"/>
          <w:sz w:val="24"/>
          <w:szCs w:val="24"/>
        </w:rPr>
      </w:pPr>
      <w:r w:rsidRPr="00BA7CC2">
        <w:rPr>
          <w:rFonts w:ascii="Arial" w:hAnsi="Arial" w:cs="Arial"/>
          <w:sz w:val="24"/>
          <w:szCs w:val="24"/>
        </w:rPr>
        <w:t xml:space="preserve">Orientación individual y familiar. </w:t>
      </w:r>
    </w:p>
    <w:p w14:paraId="1CA5D9DD" w14:textId="77777777" w:rsidR="006E3E6F" w:rsidRPr="00BA7CC2" w:rsidRDefault="006E3E6F" w:rsidP="00BA7CC2">
      <w:pPr>
        <w:pStyle w:val="Prrafodelista"/>
        <w:numPr>
          <w:ilvl w:val="0"/>
          <w:numId w:val="24"/>
        </w:numPr>
        <w:jc w:val="both"/>
        <w:rPr>
          <w:rFonts w:ascii="Arial" w:hAnsi="Arial" w:cs="Arial"/>
          <w:sz w:val="24"/>
          <w:szCs w:val="24"/>
        </w:rPr>
      </w:pPr>
      <w:r w:rsidRPr="00BA7CC2">
        <w:rPr>
          <w:rFonts w:ascii="Arial" w:hAnsi="Arial" w:cs="Arial"/>
          <w:sz w:val="24"/>
          <w:szCs w:val="24"/>
        </w:rPr>
        <w:t xml:space="preserve">Intervenciones educativas. </w:t>
      </w:r>
    </w:p>
    <w:p w14:paraId="21A3A377" w14:textId="77777777" w:rsidR="006E3E6F" w:rsidRPr="00BA7CC2" w:rsidRDefault="006E3E6F" w:rsidP="00BA7CC2">
      <w:pPr>
        <w:pStyle w:val="Prrafodelista"/>
        <w:numPr>
          <w:ilvl w:val="0"/>
          <w:numId w:val="24"/>
        </w:numPr>
        <w:jc w:val="both"/>
        <w:rPr>
          <w:rFonts w:ascii="Arial" w:hAnsi="Arial" w:cs="Arial"/>
          <w:sz w:val="24"/>
          <w:szCs w:val="24"/>
        </w:rPr>
      </w:pPr>
      <w:r w:rsidRPr="00BA7CC2">
        <w:rPr>
          <w:rFonts w:ascii="Arial" w:hAnsi="Arial" w:cs="Arial"/>
          <w:sz w:val="24"/>
          <w:szCs w:val="24"/>
        </w:rPr>
        <w:t xml:space="preserve">Fortalecimiento de factores protectores. </w:t>
      </w:r>
    </w:p>
    <w:p w14:paraId="1DC2DE34" w14:textId="77777777" w:rsidR="006E3E6F" w:rsidRPr="00BA7CC2" w:rsidRDefault="006E3E6F" w:rsidP="00BA7CC2">
      <w:pPr>
        <w:pStyle w:val="Prrafodelista"/>
        <w:numPr>
          <w:ilvl w:val="0"/>
          <w:numId w:val="24"/>
        </w:numPr>
        <w:jc w:val="both"/>
        <w:rPr>
          <w:rFonts w:ascii="Arial" w:hAnsi="Arial" w:cs="Arial"/>
          <w:sz w:val="24"/>
          <w:szCs w:val="24"/>
        </w:rPr>
      </w:pPr>
      <w:r w:rsidRPr="00BA7CC2">
        <w:rPr>
          <w:rFonts w:ascii="Arial" w:hAnsi="Arial" w:cs="Arial"/>
          <w:sz w:val="24"/>
          <w:szCs w:val="24"/>
        </w:rPr>
        <w:t xml:space="preserve">Canalización a programas institucionales. </w:t>
      </w:r>
    </w:p>
    <w:p w14:paraId="57D33FCA" w14:textId="77777777" w:rsidR="006E3E6F" w:rsidRPr="00BA7CC2" w:rsidRDefault="006E3E6F" w:rsidP="00BA7CC2">
      <w:pPr>
        <w:pStyle w:val="Prrafodelista"/>
        <w:numPr>
          <w:ilvl w:val="0"/>
          <w:numId w:val="24"/>
        </w:numPr>
        <w:jc w:val="both"/>
        <w:rPr>
          <w:rFonts w:ascii="Arial" w:hAnsi="Arial" w:cs="Arial"/>
          <w:sz w:val="24"/>
          <w:szCs w:val="24"/>
        </w:rPr>
      </w:pPr>
      <w:r w:rsidRPr="00BA7CC2">
        <w:rPr>
          <w:rFonts w:ascii="Arial" w:hAnsi="Arial" w:cs="Arial"/>
          <w:sz w:val="24"/>
          <w:szCs w:val="24"/>
        </w:rPr>
        <w:t>Seguimiento de poblaciones priorizadas.</w:t>
      </w:r>
    </w:p>
    <w:p w14:paraId="4BC5DB7C" w14:textId="77777777" w:rsidR="00996BB9" w:rsidRPr="00BA7CC2" w:rsidRDefault="00996BB9" w:rsidP="00BA7CC2">
      <w:pPr>
        <w:pStyle w:val="Ttulo2"/>
        <w:jc w:val="both"/>
        <w:rPr>
          <w:rFonts w:cs="Arial"/>
          <w:szCs w:val="24"/>
        </w:rPr>
      </w:pPr>
    </w:p>
    <w:p w14:paraId="76DBA53F" w14:textId="77777777" w:rsidR="003C2682" w:rsidRPr="00BA7CC2" w:rsidRDefault="003C2682" w:rsidP="00BA7CC2">
      <w:pPr>
        <w:pStyle w:val="Ttulo2"/>
        <w:numPr>
          <w:ilvl w:val="1"/>
          <w:numId w:val="28"/>
        </w:numPr>
        <w:jc w:val="both"/>
        <w:rPr>
          <w:rFonts w:cs="Arial"/>
          <w:bCs/>
          <w:szCs w:val="24"/>
        </w:rPr>
      </w:pPr>
      <w:r w:rsidRPr="00BA7CC2">
        <w:rPr>
          <w:rFonts w:cs="Arial"/>
          <w:bCs/>
          <w:szCs w:val="24"/>
        </w:rPr>
        <w:t>Captación e Identificación de Casos</w:t>
      </w:r>
    </w:p>
    <w:p w14:paraId="40E8CC43" w14:textId="77777777" w:rsidR="00996BB9" w:rsidRPr="00BA7CC2" w:rsidRDefault="00996BB9" w:rsidP="00BA7CC2">
      <w:pPr>
        <w:jc w:val="both"/>
        <w:rPr>
          <w:rFonts w:ascii="Arial" w:hAnsi="Arial" w:cs="Arial"/>
          <w:sz w:val="24"/>
          <w:szCs w:val="24"/>
        </w:rPr>
      </w:pPr>
    </w:p>
    <w:p w14:paraId="635F6A41" w14:textId="77777777" w:rsidR="003C2682" w:rsidRPr="00BA7CC2" w:rsidRDefault="003C2682" w:rsidP="00BA7CC2">
      <w:pPr>
        <w:jc w:val="both"/>
        <w:rPr>
          <w:rFonts w:ascii="Arial" w:hAnsi="Arial" w:cs="Arial"/>
          <w:sz w:val="24"/>
          <w:szCs w:val="24"/>
        </w:rPr>
      </w:pPr>
      <w:r w:rsidRPr="00BA7CC2">
        <w:rPr>
          <w:rFonts w:ascii="Arial" w:hAnsi="Arial" w:cs="Arial"/>
          <w:sz w:val="24"/>
          <w:szCs w:val="24"/>
        </w:rPr>
        <w:lastRenderedPageBreak/>
        <w:t>La captación constituye el proceso mediante el cual cualquier colaborador de la institución identifica usuarios con factores de riesgo o manifestaciones relacionadas con la salud mental.</w:t>
      </w:r>
    </w:p>
    <w:p w14:paraId="5E7C2FEE" w14:textId="77777777" w:rsidR="003C2682" w:rsidRPr="00BA7CC2" w:rsidRDefault="003C2682" w:rsidP="00BA7CC2">
      <w:pPr>
        <w:jc w:val="both"/>
        <w:rPr>
          <w:rFonts w:ascii="Arial" w:hAnsi="Arial" w:cs="Arial"/>
          <w:sz w:val="24"/>
          <w:szCs w:val="24"/>
        </w:rPr>
      </w:pPr>
      <w:r w:rsidRPr="00BA7CC2">
        <w:rPr>
          <w:rFonts w:ascii="Arial" w:hAnsi="Arial" w:cs="Arial"/>
          <w:sz w:val="24"/>
          <w:szCs w:val="24"/>
        </w:rPr>
        <w:t>La identificación podrá realizarse en:</w:t>
      </w:r>
    </w:p>
    <w:p w14:paraId="5D47A203"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Consulta médica. </w:t>
      </w:r>
    </w:p>
    <w:p w14:paraId="201F4427"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Consulta de psicología. </w:t>
      </w:r>
    </w:p>
    <w:p w14:paraId="6A8657B2"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Consulta de enfermería. </w:t>
      </w:r>
    </w:p>
    <w:p w14:paraId="3EDF251A"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Programas de Promoción y Mantenimiento de la Salud. </w:t>
      </w:r>
    </w:p>
    <w:p w14:paraId="119F1D55"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Servicio de urgencias. </w:t>
      </w:r>
    </w:p>
    <w:p w14:paraId="2034F2EA"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Actividades extramurales. </w:t>
      </w:r>
    </w:p>
    <w:p w14:paraId="2A57B4DB"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Visitas domiciliarias. </w:t>
      </w:r>
    </w:p>
    <w:p w14:paraId="01C1F1BB"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Jornadas comunitarias. </w:t>
      </w:r>
    </w:p>
    <w:p w14:paraId="086340F1"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Estrategias de Atención Primaria en Salud. </w:t>
      </w:r>
    </w:p>
    <w:p w14:paraId="62BF2542" w14:textId="77777777" w:rsidR="003C2682" w:rsidRPr="00BA7CC2" w:rsidRDefault="003C2682" w:rsidP="00BA7CC2">
      <w:pPr>
        <w:pStyle w:val="Prrafodelista"/>
        <w:numPr>
          <w:ilvl w:val="0"/>
          <w:numId w:val="25"/>
        </w:numPr>
        <w:jc w:val="both"/>
        <w:rPr>
          <w:rFonts w:ascii="Arial" w:hAnsi="Arial" w:cs="Arial"/>
          <w:sz w:val="24"/>
          <w:szCs w:val="24"/>
        </w:rPr>
      </w:pPr>
      <w:r w:rsidRPr="00BA7CC2">
        <w:rPr>
          <w:rFonts w:ascii="Arial" w:hAnsi="Arial" w:cs="Arial"/>
          <w:sz w:val="24"/>
          <w:szCs w:val="24"/>
        </w:rPr>
        <w:t xml:space="preserve">Actividades desarrolladas con instituciones educativas o redes comunitarias. </w:t>
      </w:r>
    </w:p>
    <w:p w14:paraId="5A053F4A" w14:textId="77777777" w:rsidR="003C2682" w:rsidRPr="00BA7CC2" w:rsidRDefault="003C2682" w:rsidP="00BA7CC2">
      <w:pPr>
        <w:jc w:val="both"/>
        <w:rPr>
          <w:rFonts w:ascii="Arial" w:hAnsi="Arial" w:cs="Arial"/>
          <w:sz w:val="24"/>
          <w:szCs w:val="24"/>
        </w:rPr>
      </w:pPr>
      <w:r w:rsidRPr="00BA7CC2">
        <w:rPr>
          <w:rFonts w:ascii="Arial" w:hAnsi="Arial" w:cs="Arial"/>
          <w:sz w:val="24"/>
          <w:szCs w:val="24"/>
        </w:rPr>
        <w:t>Todo colaborador que identifique una posible afectación en salud mental deberá garantizar la canalización inmediata del usuario hacia el profesional competente.</w:t>
      </w:r>
    </w:p>
    <w:p w14:paraId="375D669D" w14:textId="77777777" w:rsidR="00EF1F44" w:rsidRPr="00BA7CC2" w:rsidRDefault="00EF1F44" w:rsidP="00BA7CC2">
      <w:pPr>
        <w:pStyle w:val="Ttulo2"/>
        <w:numPr>
          <w:ilvl w:val="1"/>
          <w:numId w:val="28"/>
        </w:numPr>
        <w:jc w:val="both"/>
        <w:rPr>
          <w:rFonts w:cs="Arial"/>
          <w:szCs w:val="24"/>
        </w:rPr>
      </w:pPr>
      <w:r w:rsidRPr="00BA7CC2">
        <w:rPr>
          <w:rFonts w:cs="Arial"/>
          <w:szCs w:val="24"/>
        </w:rPr>
        <w:t>Tamizaje y Detección Temprana</w:t>
      </w:r>
    </w:p>
    <w:p w14:paraId="39F1A427" w14:textId="77777777" w:rsidR="00996BB9" w:rsidRPr="00BA7CC2" w:rsidRDefault="00996BB9" w:rsidP="00BA7CC2">
      <w:pPr>
        <w:jc w:val="both"/>
        <w:rPr>
          <w:rFonts w:ascii="Arial" w:hAnsi="Arial" w:cs="Arial"/>
          <w:sz w:val="24"/>
          <w:szCs w:val="24"/>
        </w:rPr>
      </w:pPr>
    </w:p>
    <w:p w14:paraId="1536794B" w14:textId="77777777" w:rsidR="00EF1F44" w:rsidRPr="00BA7CC2" w:rsidRDefault="00EF1F44" w:rsidP="00BA7CC2">
      <w:pPr>
        <w:jc w:val="both"/>
        <w:rPr>
          <w:rFonts w:ascii="Arial" w:hAnsi="Arial" w:cs="Arial"/>
          <w:sz w:val="24"/>
          <w:szCs w:val="24"/>
        </w:rPr>
      </w:pPr>
      <w:r w:rsidRPr="00BA7CC2">
        <w:rPr>
          <w:rFonts w:ascii="Arial" w:hAnsi="Arial" w:cs="Arial"/>
          <w:sz w:val="24"/>
          <w:szCs w:val="24"/>
        </w:rPr>
        <w:t>El tamizaje constituye un proceso sistemático orientado a identificar usuarios con riesgo de desarrollar trastornos mentales o que presenten signos tempranos de afectación emocional o psicológica.</w:t>
      </w:r>
    </w:p>
    <w:p w14:paraId="65D7E712" w14:textId="77777777" w:rsidR="00EF1F44" w:rsidRPr="00BA7CC2" w:rsidRDefault="00EF1F44" w:rsidP="00BA7CC2">
      <w:pPr>
        <w:jc w:val="both"/>
        <w:rPr>
          <w:rFonts w:ascii="Arial" w:hAnsi="Arial" w:cs="Arial"/>
          <w:sz w:val="24"/>
          <w:szCs w:val="24"/>
        </w:rPr>
      </w:pPr>
      <w:r w:rsidRPr="00BA7CC2">
        <w:rPr>
          <w:rFonts w:ascii="Arial" w:hAnsi="Arial" w:cs="Arial"/>
          <w:sz w:val="24"/>
          <w:szCs w:val="24"/>
        </w:rPr>
        <w:t>La selección de la herramienta dependerá de la edad, condición clínica y motivo de consulta del usuario.</w:t>
      </w:r>
    </w:p>
    <w:p w14:paraId="2CC12CDF" w14:textId="77777777" w:rsidR="00EF1F44" w:rsidRPr="00BA7CC2" w:rsidRDefault="00EF1F44" w:rsidP="00BA7CC2">
      <w:pPr>
        <w:jc w:val="both"/>
        <w:rPr>
          <w:rFonts w:ascii="Arial" w:hAnsi="Arial" w:cs="Arial"/>
          <w:sz w:val="24"/>
          <w:szCs w:val="24"/>
        </w:rPr>
      </w:pPr>
      <w:r w:rsidRPr="00BA7CC2">
        <w:rPr>
          <w:rFonts w:ascii="Arial" w:hAnsi="Arial" w:cs="Arial"/>
          <w:sz w:val="24"/>
          <w:szCs w:val="24"/>
        </w:rPr>
        <w:t xml:space="preserve">Los resultados del tamizaje orientarán la priorización del riesgo, la necesidad de valoración integral y la activación de rutas específicas de atención. </w:t>
      </w:r>
    </w:p>
    <w:p w14:paraId="1483B591" w14:textId="77777777" w:rsidR="00357B12" w:rsidRPr="00BA7CC2" w:rsidRDefault="00357B12" w:rsidP="00BA7CC2">
      <w:pPr>
        <w:jc w:val="both"/>
        <w:rPr>
          <w:rFonts w:ascii="Arial" w:hAnsi="Arial" w:cs="Arial"/>
          <w:sz w:val="24"/>
          <w:szCs w:val="24"/>
        </w:rPr>
      </w:pPr>
    </w:p>
    <w:p w14:paraId="28A65A58" w14:textId="0B4262AF" w:rsidR="00897550" w:rsidRPr="00BA7CC2" w:rsidRDefault="00357B12" w:rsidP="00BA7CC2">
      <w:pPr>
        <w:pStyle w:val="Ttulo2"/>
        <w:numPr>
          <w:ilvl w:val="1"/>
          <w:numId w:val="28"/>
        </w:numPr>
        <w:jc w:val="both"/>
        <w:rPr>
          <w:rFonts w:cs="Arial"/>
          <w:bCs/>
          <w:szCs w:val="24"/>
        </w:rPr>
      </w:pPr>
      <w:r w:rsidRPr="00BA7CC2">
        <w:rPr>
          <w:rFonts w:cs="Arial"/>
          <w:bCs/>
          <w:szCs w:val="24"/>
        </w:rPr>
        <w:t>Protocolos y documentos asociados al proceso</w:t>
      </w:r>
    </w:p>
    <w:p w14:paraId="3F8FC487" w14:textId="77777777" w:rsidR="00357B12" w:rsidRPr="00BA7CC2" w:rsidRDefault="00357B12" w:rsidP="00BA7CC2">
      <w:pPr>
        <w:jc w:val="both"/>
        <w:rPr>
          <w:rFonts w:ascii="Arial" w:hAnsi="Arial" w:cs="Arial"/>
          <w:sz w:val="24"/>
          <w:szCs w:val="24"/>
        </w:rPr>
      </w:pPr>
    </w:p>
    <w:p w14:paraId="10E4A2B6" w14:textId="77777777" w:rsidR="00897550" w:rsidRPr="00BA7CC2" w:rsidRDefault="00897550" w:rsidP="00BA7CC2">
      <w:pPr>
        <w:jc w:val="both"/>
        <w:rPr>
          <w:rFonts w:ascii="Arial" w:hAnsi="Arial" w:cs="Arial"/>
          <w:sz w:val="24"/>
          <w:szCs w:val="24"/>
        </w:rPr>
      </w:pPr>
      <w:r w:rsidRPr="00BA7CC2">
        <w:rPr>
          <w:rFonts w:ascii="Arial" w:hAnsi="Arial" w:cs="Arial"/>
          <w:sz w:val="24"/>
          <w:szCs w:val="24"/>
        </w:rPr>
        <w:t>El Subproceso de Gestión Integral de la Atención en Salud Mental se operacionaliza mediante protocolos, procedimientos, guías clínicas, rutas de atención e instructivos que permiten estandarizar la atención de los usuarios y garantizar la oportunidad, continuidad, seguridad y calidad de la atención.</w:t>
      </w:r>
    </w:p>
    <w:p w14:paraId="2E42D132" w14:textId="77777777" w:rsidR="00897550" w:rsidRPr="00BA7CC2" w:rsidRDefault="00897550" w:rsidP="00BA7CC2">
      <w:pPr>
        <w:jc w:val="both"/>
        <w:rPr>
          <w:rFonts w:ascii="Arial" w:hAnsi="Arial" w:cs="Arial"/>
          <w:sz w:val="24"/>
          <w:szCs w:val="24"/>
        </w:rPr>
      </w:pPr>
      <w:r w:rsidRPr="00BA7CC2">
        <w:rPr>
          <w:rFonts w:ascii="Arial" w:hAnsi="Arial" w:cs="Arial"/>
          <w:sz w:val="24"/>
          <w:szCs w:val="24"/>
        </w:rPr>
        <w:t>Los documentos asociados son los siguientes:</w:t>
      </w:r>
    </w:p>
    <w:p w14:paraId="12389934" w14:textId="4BA8806C" w:rsidR="00BC3213" w:rsidRPr="00BA7CC2" w:rsidRDefault="00BC3213" w:rsidP="00BA7CC2">
      <w:pPr>
        <w:jc w:val="both"/>
        <w:rPr>
          <w:rFonts w:ascii="Arial" w:hAnsi="Arial" w:cs="Arial"/>
          <w:sz w:val="24"/>
          <w:szCs w:val="24"/>
        </w:rPr>
      </w:pPr>
      <w:r w:rsidRPr="00BA7CC2">
        <w:rPr>
          <w:rFonts w:ascii="Arial" w:hAnsi="Arial" w:cs="Arial"/>
          <w:b/>
          <w:bCs/>
          <w:sz w:val="24"/>
          <w:szCs w:val="24"/>
        </w:rPr>
        <w:lastRenderedPageBreak/>
        <w:t>Manual Institucional para la Gestión Integral de la Salud Mental</w:t>
      </w:r>
      <w:r w:rsidR="00E5509A" w:rsidRPr="00BA7CC2">
        <w:rPr>
          <w:rFonts w:ascii="Arial" w:hAnsi="Arial" w:cs="Arial"/>
          <w:b/>
          <w:bCs/>
          <w:sz w:val="24"/>
          <w:szCs w:val="24"/>
        </w:rPr>
        <w:t xml:space="preserve">: </w:t>
      </w:r>
      <w:r w:rsidRPr="00BA7CC2">
        <w:rPr>
          <w:rFonts w:ascii="Arial" w:hAnsi="Arial" w:cs="Arial"/>
          <w:sz w:val="24"/>
          <w:szCs w:val="24"/>
        </w:rPr>
        <w:t>Documento marco que orienta la gestión integral de la salud mental en la E.S.E. Bellosalud. Establece los principios, políticas institucionales, modelo operativo, rutas de atención, responsabilidades, estrategias de promoción, prevención, gestión del riesgo, seguimiento y articulación intersectorial para la atención de la población.</w:t>
      </w:r>
    </w:p>
    <w:p w14:paraId="639369A6" w14:textId="174BA292" w:rsidR="00BC3213" w:rsidRPr="00BA7CC2" w:rsidRDefault="00BC3213" w:rsidP="00BA7CC2">
      <w:pPr>
        <w:jc w:val="both"/>
        <w:rPr>
          <w:rFonts w:ascii="Arial" w:hAnsi="Arial" w:cs="Arial"/>
          <w:b/>
          <w:bCs/>
          <w:sz w:val="24"/>
          <w:szCs w:val="24"/>
        </w:rPr>
      </w:pPr>
      <w:r w:rsidRPr="00BA7CC2">
        <w:rPr>
          <w:rFonts w:ascii="Arial" w:hAnsi="Arial" w:cs="Arial"/>
          <w:b/>
          <w:bCs/>
          <w:sz w:val="24"/>
          <w:szCs w:val="24"/>
        </w:rPr>
        <w:t>Protocolo de Atención Integral para la Conducta Suicida</w:t>
      </w:r>
      <w:r w:rsidR="00E5509A" w:rsidRPr="00BA7CC2">
        <w:rPr>
          <w:rFonts w:ascii="Arial" w:hAnsi="Arial" w:cs="Arial"/>
          <w:b/>
          <w:bCs/>
          <w:sz w:val="24"/>
          <w:szCs w:val="24"/>
        </w:rPr>
        <w:t xml:space="preserve">: </w:t>
      </w:r>
      <w:r w:rsidRPr="00BA7CC2">
        <w:rPr>
          <w:rFonts w:ascii="Arial" w:hAnsi="Arial" w:cs="Arial"/>
          <w:sz w:val="24"/>
          <w:szCs w:val="24"/>
        </w:rPr>
        <w:t>Establece las actividades para la identificación temprana, valoración integral del riesgo suicida, intervención en crisis, activación inmediata de la ruta institucional, medidas de protección, seguimiento clínico y notificación obligatoria al Sistema de Vigilancia en Salud Pública (SIVIGILA), garantizando la protección de la vida y la continuidad del cuidado.</w:t>
      </w:r>
    </w:p>
    <w:p w14:paraId="36958BF3" w14:textId="52A3ABD9" w:rsidR="00E257DA" w:rsidRPr="00BA7CC2" w:rsidRDefault="00E257DA" w:rsidP="00BA7CC2">
      <w:pPr>
        <w:jc w:val="both"/>
        <w:rPr>
          <w:rFonts w:ascii="Arial" w:hAnsi="Arial" w:cs="Arial"/>
          <w:sz w:val="24"/>
          <w:szCs w:val="24"/>
        </w:rPr>
      </w:pPr>
      <w:r w:rsidRPr="00BA7CC2">
        <w:rPr>
          <w:rFonts w:ascii="Arial" w:hAnsi="Arial" w:cs="Arial"/>
          <w:b/>
          <w:bCs/>
          <w:sz w:val="24"/>
          <w:szCs w:val="24"/>
        </w:rPr>
        <w:t>Protocolo de Atención Integral a Víctimas de Violencia Sexual</w:t>
      </w:r>
      <w:r w:rsidR="00E5509A" w:rsidRPr="00BA7CC2">
        <w:rPr>
          <w:rFonts w:ascii="Arial" w:hAnsi="Arial" w:cs="Arial"/>
          <w:b/>
          <w:bCs/>
          <w:sz w:val="24"/>
          <w:szCs w:val="24"/>
        </w:rPr>
        <w:t xml:space="preserve">: </w:t>
      </w:r>
      <w:r w:rsidRPr="00BA7CC2">
        <w:rPr>
          <w:rFonts w:ascii="Arial" w:hAnsi="Arial" w:cs="Arial"/>
          <w:sz w:val="24"/>
          <w:szCs w:val="24"/>
        </w:rPr>
        <w:t>Define el procedimiento institucional para la atención integral, humanizada y segura de las víctimas de violencia sexual, incluyendo la atención clínica inicial, primeros auxilios psicológicos, activación de la ruta intersectorial, toma de muestras cuando aplique, profilaxis, notificación obligatoria y protección de los derechos de la víctima.</w:t>
      </w:r>
    </w:p>
    <w:p w14:paraId="433B706A" w14:textId="47368457" w:rsidR="00E257DA" w:rsidRPr="00BA7CC2" w:rsidRDefault="00E257DA" w:rsidP="00BA7CC2">
      <w:pPr>
        <w:jc w:val="both"/>
        <w:rPr>
          <w:rFonts w:ascii="Arial" w:hAnsi="Arial" w:cs="Arial"/>
          <w:sz w:val="24"/>
          <w:szCs w:val="24"/>
        </w:rPr>
      </w:pPr>
      <w:r w:rsidRPr="00BA7CC2">
        <w:rPr>
          <w:rFonts w:ascii="Arial" w:hAnsi="Arial" w:cs="Arial"/>
          <w:b/>
          <w:bCs/>
          <w:sz w:val="24"/>
          <w:szCs w:val="24"/>
        </w:rPr>
        <w:t>Protocolo de Atención Integral a Víctimas de Violencia Intrafamiliar y Violencias Basadas en Género</w:t>
      </w:r>
      <w:r w:rsidR="00E5509A" w:rsidRPr="00BA7CC2">
        <w:rPr>
          <w:rFonts w:ascii="Arial" w:hAnsi="Arial" w:cs="Arial"/>
          <w:b/>
          <w:bCs/>
          <w:sz w:val="24"/>
          <w:szCs w:val="24"/>
        </w:rPr>
        <w:t xml:space="preserve">: </w:t>
      </w:r>
      <w:r w:rsidRPr="00BA7CC2">
        <w:rPr>
          <w:rFonts w:ascii="Arial" w:hAnsi="Arial" w:cs="Arial"/>
          <w:sz w:val="24"/>
          <w:szCs w:val="24"/>
        </w:rPr>
        <w:t>Orienta la detección, valoración, intervención, protección y seguimiento de usuarios víctimas de violencia intrafamiliar, violencia de pareja, violencia basada en género, maltrato infantil y otras formas de violencia, garantizando la activación de las rutas institucionales y la articulación con las autoridades competentes.</w:t>
      </w:r>
    </w:p>
    <w:p w14:paraId="5ACB50A1" w14:textId="26A1B314" w:rsidR="00F72678" w:rsidRPr="00BA7CC2" w:rsidRDefault="00F72678" w:rsidP="00BA7CC2">
      <w:pPr>
        <w:jc w:val="both"/>
        <w:rPr>
          <w:rFonts w:ascii="Arial" w:hAnsi="Arial" w:cs="Arial"/>
          <w:sz w:val="24"/>
          <w:szCs w:val="24"/>
        </w:rPr>
      </w:pPr>
      <w:r w:rsidRPr="00BA7CC2">
        <w:rPr>
          <w:rFonts w:ascii="Arial" w:hAnsi="Arial" w:cs="Arial"/>
          <w:b/>
          <w:bCs/>
          <w:sz w:val="24"/>
          <w:szCs w:val="24"/>
        </w:rPr>
        <w:t>Protocolo de Atención Integral para el Consumo de Sustancias Psicoactivas (SPA)</w:t>
      </w:r>
      <w:r w:rsidR="00E5509A" w:rsidRPr="00BA7CC2">
        <w:rPr>
          <w:rFonts w:ascii="Arial" w:hAnsi="Arial" w:cs="Arial"/>
          <w:b/>
          <w:bCs/>
          <w:sz w:val="24"/>
          <w:szCs w:val="24"/>
        </w:rPr>
        <w:t xml:space="preserve">: </w:t>
      </w:r>
      <w:r w:rsidRPr="00BA7CC2">
        <w:rPr>
          <w:rFonts w:ascii="Arial" w:hAnsi="Arial" w:cs="Arial"/>
          <w:sz w:val="24"/>
          <w:szCs w:val="24"/>
        </w:rPr>
        <w:t>Establece las directrices para la captación, tamizaje, diagnóstico, intervención breve, tratamiento ambulatorio, referencia, seguimiento y articulación intersectorial de usuarios con consumo de sustancias psicoactivas o trastornos relacionados, promoviendo la reducción del daño y la rehabilitación integral.</w:t>
      </w:r>
    </w:p>
    <w:p w14:paraId="5ED994D3" w14:textId="7D0457F7" w:rsidR="00703160" w:rsidRPr="00BA7CC2" w:rsidRDefault="00703160" w:rsidP="00BA7CC2">
      <w:pPr>
        <w:jc w:val="both"/>
        <w:rPr>
          <w:rFonts w:ascii="Arial" w:hAnsi="Arial" w:cs="Arial"/>
          <w:sz w:val="24"/>
          <w:szCs w:val="24"/>
        </w:rPr>
      </w:pPr>
      <w:r w:rsidRPr="00BA7CC2">
        <w:rPr>
          <w:rFonts w:ascii="Arial" w:hAnsi="Arial" w:cs="Arial"/>
          <w:b/>
          <w:bCs/>
          <w:sz w:val="24"/>
          <w:szCs w:val="24"/>
        </w:rPr>
        <w:t>Protocolo para el Manejo del Duelo</w:t>
      </w:r>
      <w:r w:rsidR="00E5509A" w:rsidRPr="00BA7CC2">
        <w:rPr>
          <w:rFonts w:ascii="Arial" w:hAnsi="Arial" w:cs="Arial"/>
          <w:b/>
          <w:bCs/>
          <w:sz w:val="24"/>
          <w:szCs w:val="24"/>
        </w:rPr>
        <w:t xml:space="preserve">: </w:t>
      </w:r>
      <w:r w:rsidRPr="00BA7CC2">
        <w:rPr>
          <w:rFonts w:ascii="Arial" w:hAnsi="Arial" w:cs="Arial"/>
          <w:sz w:val="24"/>
          <w:szCs w:val="24"/>
        </w:rPr>
        <w:t>Orienta la atención integral de usuarios que presentan procesos de duelo normal o complicado, favoreciendo la adaptación saludable, la identificación de factores de riesgo y la intervención psicológica cuando se requiera.</w:t>
      </w:r>
    </w:p>
    <w:p w14:paraId="2AAFA06F" w14:textId="77777777" w:rsidR="00E5509A" w:rsidRPr="00BA7CC2" w:rsidRDefault="00E5509A" w:rsidP="00BA7CC2">
      <w:pPr>
        <w:jc w:val="both"/>
        <w:rPr>
          <w:rFonts w:ascii="Arial" w:hAnsi="Arial" w:cs="Arial"/>
          <w:sz w:val="24"/>
          <w:szCs w:val="24"/>
        </w:rPr>
      </w:pPr>
    </w:p>
    <w:p w14:paraId="6F0CF51E" w14:textId="2E3FABD6" w:rsidR="00EA0B97" w:rsidRPr="00BA7CC2" w:rsidRDefault="00357B12" w:rsidP="00BA7CC2">
      <w:pPr>
        <w:pStyle w:val="Ttulo2"/>
        <w:numPr>
          <w:ilvl w:val="1"/>
          <w:numId w:val="28"/>
        </w:numPr>
        <w:jc w:val="both"/>
        <w:rPr>
          <w:rFonts w:cs="Arial"/>
          <w:szCs w:val="24"/>
        </w:rPr>
      </w:pPr>
      <w:r w:rsidRPr="00BA7CC2">
        <w:rPr>
          <w:rFonts w:cs="Arial"/>
          <w:szCs w:val="24"/>
        </w:rPr>
        <w:t>Capacitación, educación y sensibilización</w:t>
      </w:r>
    </w:p>
    <w:p w14:paraId="07C52EEF" w14:textId="77777777" w:rsidR="00357B12" w:rsidRPr="00BA7CC2" w:rsidRDefault="00357B12" w:rsidP="00BA7CC2">
      <w:pPr>
        <w:jc w:val="both"/>
        <w:rPr>
          <w:rFonts w:ascii="Arial" w:hAnsi="Arial" w:cs="Arial"/>
          <w:sz w:val="24"/>
          <w:szCs w:val="24"/>
        </w:rPr>
      </w:pPr>
    </w:p>
    <w:p w14:paraId="5F246C78" w14:textId="77777777" w:rsidR="00EA0B97" w:rsidRPr="00BA7CC2" w:rsidRDefault="00EA0B97" w:rsidP="00BA7CC2">
      <w:pPr>
        <w:jc w:val="both"/>
        <w:rPr>
          <w:rFonts w:ascii="Arial" w:hAnsi="Arial" w:cs="Arial"/>
          <w:sz w:val="24"/>
          <w:szCs w:val="24"/>
        </w:rPr>
      </w:pPr>
      <w:r w:rsidRPr="00BA7CC2">
        <w:rPr>
          <w:rFonts w:ascii="Arial" w:hAnsi="Arial" w:cs="Arial"/>
          <w:sz w:val="24"/>
          <w:szCs w:val="24"/>
        </w:rPr>
        <w:t xml:space="preserve">La gestión integral de la salud mental requiere un proceso permanente de fortalecimiento de competencias del talento humano y de educación continua </w:t>
      </w:r>
      <w:r w:rsidRPr="00BA7CC2">
        <w:rPr>
          <w:rFonts w:ascii="Arial" w:hAnsi="Arial" w:cs="Arial"/>
          <w:sz w:val="24"/>
          <w:szCs w:val="24"/>
        </w:rPr>
        <w:lastRenderedPageBreak/>
        <w:t>dirigido a los usuarios, sus familias y la comunidad, con el fin de garantizar una atención segura, humanizada, integral y centrada en la persona.</w:t>
      </w:r>
    </w:p>
    <w:p w14:paraId="13621914" w14:textId="77777777" w:rsidR="00EA0B97" w:rsidRPr="00BA7CC2" w:rsidRDefault="00EA0B97" w:rsidP="00BA7CC2">
      <w:pPr>
        <w:jc w:val="both"/>
        <w:rPr>
          <w:rFonts w:ascii="Arial" w:hAnsi="Arial" w:cs="Arial"/>
          <w:sz w:val="24"/>
          <w:szCs w:val="24"/>
        </w:rPr>
      </w:pPr>
      <w:r w:rsidRPr="00BA7CC2">
        <w:rPr>
          <w:rFonts w:ascii="Arial" w:hAnsi="Arial" w:cs="Arial"/>
          <w:sz w:val="24"/>
          <w:szCs w:val="24"/>
        </w:rPr>
        <w:t>La E.S.E. Bellosalud promoverá el desarrollo de un programa continuo de capacitación y actualización dirigido a los colaboradores que participan directa o indirectamente en el Subproceso de Gestión Integral de la Atención en Salud Mental, orientado a fortalecer los conocimientos técnicos, científicos, normativos y asistenciales necesarios para la identificación temprana de riesgos, la atención integral de las personas con afectaciones en salud mental y la adecuada activación de las rutas institucionales e intersectoriales. Estas actividades permitirán mantener las competencias del talento humano acordes con la normatividad vigente, los avances científicos, los lineamientos institucionales y las necesidades identificadas mediante los procesos de auditoría, seguimiento y gestión del riesgo.</w:t>
      </w:r>
    </w:p>
    <w:p w14:paraId="3568D3CE" w14:textId="77777777" w:rsidR="00EA0B97" w:rsidRPr="00BA7CC2" w:rsidRDefault="00EA0B97" w:rsidP="00BA7CC2">
      <w:pPr>
        <w:jc w:val="both"/>
        <w:rPr>
          <w:rFonts w:ascii="Arial" w:hAnsi="Arial" w:cs="Arial"/>
          <w:sz w:val="24"/>
          <w:szCs w:val="24"/>
        </w:rPr>
      </w:pPr>
      <w:r w:rsidRPr="00BA7CC2">
        <w:rPr>
          <w:rFonts w:ascii="Arial" w:hAnsi="Arial" w:cs="Arial"/>
          <w:sz w:val="24"/>
          <w:szCs w:val="24"/>
        </w:rPr>
        <w:t>De igual manera, la institución fomentará espacios permanentes de sensibilización dirigidos a todos los servidores y colaboradores, con el propósito de fortalecer una cultura organizacional basada en el respeto por los derechos humanos, la humanización de la atención, la comunicación asertiva, el trato digno, la confidencialidad, la reducción del estigma asociado a los trastornos mentales y la corresponsabilidad en la identificación y manejo oportuno de situaciones que puedan comprometer la salud mental de los usuarios o del propio talento humano.</w:t>
      </w:r>
    </w:p>
    <w:p w14:paraId="119260E1" w14:textId="77777777" w:rsidR="00EA0B97" w:rsidRPr="00BA7CC2" w:rsidRDefault="00EA0B97" w:rsidP="00BA7CC2">
      <w:pPr>
        <w:jc w:val="both"/>
        <w:rPr>
          <w:rFonts w:ascii="Arial" w:hAnsi="Arial" w:cs="Arial"/>
          <w:sz w:val="24"/>
          <w:szCs w:val="24"/>
        </w:rPr>
      </w:pPr>
      <w:r w:rsidRPr="00BA7CC2">
        <w:rPr>
          <w:rFonts w:ascii="Arial" w:hAnsi="Arial" w:cs="Arial"/>
          <w:sz w:val="24"/>
          <w:szCs w:val="24"/>
        </w:rPr>
        <w:t>Las acciones de capacitación deberán planificarse de acuerdo con las necesidades institucionales identificadas, los cambios normativos, los resultados de los indicadores del subproceso, los eventos adversos, los hallazgos de auditorías internas y externas, las oportunidades de mejora y los riesgos priorizados, promoviendo el mejoramiento continuo de la calidad de la atención y la seguridad del paciente. Asimismo, la institución evaluará periódicamente la efectividad de las actividades formativas mediante mecanismos que permitan verificar la apropiación de los conocimientos y su aplicación en la práctica asistencial.</w:t>
      </w:r>
    </w:p>
    <w:p w14:paraId="379B3F73" w14:textId="77777777" w:rsidR="00EA0B97" w:rsidRPr="00BA7CC2" w:rsidRDefault="00EA0B97" w:rsidP="00BA7CC2">
      <w:pPr>
        <w:jc w:val="both"/>
        <w:rPr>
          <w:rFonts w:ascii="Arial" w:hAnsi="Arial" w:cs="Arial"/>
          <w:sz w:val="24"/>
          <w:szCs w:val="24"/>
        </w:rPr>
      </w:pPr>
      <w:r w:rsidRPr="00BA7CC2">
        <w:rPr>
          <w:rFonts w:ascii="Arial" w:hAnsi="Arial" w:cs="Arial"/>
          <w:sz w:val="24"/>
          <w:szCs w:val="24"/>
        </w:rPr>
        <w:t>De manera complementaria, la E.S.E. Bellosalud desarrollará estrategias permanentes de educación, información y sensibilización dirigidas a los usuarios, sus familias y la comunidad, orientadas a fortalecer el conocimiento sobre la salud mental como un componente fundamental del bienestar integral. Estas acciones buscarán promover el autocuidado, el reconocimiento oportuno de signos de alarma, el fortalecimiento de factores protectores, la adopción de estilos de vida saludables, la disminución del estigma asociado a los trastornos mentales y el uso adecuado de los servicios de salud, favoreciendo la participación activa de la comunidad en la promoción de la salud mental y la prevención de las enfermedades mentales.</w:t>
      </w:r>
    </w:p>
    <w:p w14:paraId="59DE02F5" w14:textId="77777777" w:rsidR="00EA0B97" w:rsidRPr="00BA7CC2" w:rsidRDefault="00EA0B97" w:rsidP="00BA7CC2">
      <w:pPr>
        <w:jc w:val="both"/>
        <w:rPr>
          <w:rFonts w:ascii="Arial" w:hAnsi="Arial" w:cs="Arial"/>
          <w:sz w:val="24"/>
          <w:szCs w:val="24"/>
        </w:rPr>
      </w:pPr>
      <w:r w:rsidRPr="00BA7CC2">
        <w:rPr>
          <w:rFonts w:ascii="Arial" w:hAnsi="Arial" w:cs="Arial"/>
          <w:sz w:val="24"/>
          <w:szCs w:val="24"/>
        </w:rPr>
        <w:lastRenderedPageBreak/>
        <w:t>Las actividades educativas podrán desarrollarse mediante consultas individuales, intervenciones grupales, escuelas de padres, jornadas comunitarias, estrategias de Atención Primaria en Salud, programas de Promoción y Mantenimiento de la Salud, instituciones educativas, espacios comunitarios, medios de comunicación institucionales y demás escenarios que faciliten el acceso de la población a información clara, pertinente y basada en la evidencia. Estas estrategias contribuirán al fortalecimiento de las redes de apoyo familiares y comunitarias, favoreciendo la detección temprana de situaciones de riesgo y la búsqueda oportuna de atención, en concordancia con los principios de promoción de la salud, prevención de la enfermedad, participación social y gestión integral del riesgo.</w:t>
      </w:r>
    </w:p>
    <w:p w14:paraId="35244539" w14:textId="0404AC46" w:rsidR="00EA0B97" w:rsidRPr="00BA7CC2" w:rsidRDefault="00EA0B97" w:rsidP="00BA7CC2">
      <w:pPr>
        <w:jc w:val="both"/>
        <w:rPr>
          <w:rFonts w:ascii="Arial" w:hAnsi="Arial" w:cs="Arial"/>
          <w:sz w:val="24"/>
          <w:szCs w:val="24"/>
        </w:rPr>
      </w:pPr>
      <w:r w:rsidRPr="00BA7CC2">
        <w:rPr>
          <w:rFonts w:ascii="Arial" w:hAnsi="Arial" w:cs="Arial"/>
          <w:sz w:val="24"/>
          <w:szCs w:val="24"/>
        </w:rPr>
        <w:t>Finalmente, la institución propenderá por consolidar una cultura de aprendizaje continuo en salud mental, entendiendo que la actualización permanente del talento humano y el empoderamiento de la comunidad constituyen elementos esenciales para mejorar la calidad de la atención, garantizar la continuidad del cuidado, reducir las barreras de acceso, fortalecer la confianza de los usuarios en los servicios de salud y contribuir al mejoramiento de los resultados en salud de la población atendida por la E.S.E. Bellosalud.</w:t>
      </w:r>
    </w:p>
    <w:p w14:paraId="4251B91E" w14:textId="54379CDF" w:rsidR="00EA0B97" w:rsidRPr="00BA7CC2" w:rsidRDefault="00EA0B97" w:rsidP="00BA7CC2">
      <w:pPr>
        <w:jc w:val="both"/>
        <w:rPr>
          <w:rFonts w:ascii="Arial" w:hAnsi="Arial" w:cs="Arial"/>
          <w:sz w:val="24"/>
          <w:szCs w:val="24"/>
        </w:rPr>
      </w:pPr>
    </w:p>
    <w:p w14:paraId="748A0335" w14:textId="785F9CF3" w:rsidR="00EA0B97" w:rsidRPr="00BA7CC2" w:rsidRDefault="00357B12" w:rsidP="00BA7CC2">
      <w:pPr>
        <w:pStyle w:val="Ttulo2"/>
        <w:numPr>
          <w:ilvl w:val="1"/>
          <w:numId w:val="28"/>
        </w:numPr>
        <w:jc w:val="both"/>
        <w:rPr>
          <w:rFonts w:cs="Arial"/>
          <w:szCs w:val="24"/>
        </w:rPr>
      </w:pPr>
      <w:r w:rsidRPr="00BA7CC2">
        <w:rPr>
          <w:rFonts w:cs="Arial"/>
          <w:szCs w:val="24"/>
        </w:rPr>
        <w:t>Flujograma</w:t>
      </w:r>
    </w:p>
    <w:p w14:paraId="6B8D0096" w14:textId="77777777" w:rsidR="00357B12" w:rsidRPr="00BA7CC2" w:rsidRDefault="00357B12" w:rsidP="00BA7CC2">
      <w:pPr>
        <w:jc w:val="both"/>
        <w:rPr>
          <w:rFonts w:ascii="Arial" w:hAnsi="Arial" w:cs="Arial"/>
          <w:sz w:val="24"/>
          <w:szCs w:val="24"/>
        </w:rPr>
      </w:pPr>
    </w:p>
    <w:p w14:paraId="7D77B000"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INICIO</w:t>
      </w:r>
    </w:p>
    <w:p w14:paraId="73A7F419"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0D4C45EA"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4222EBF6"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Ingreso del usuario a la institución</w:t>
      </w:r>
    </w:p>
    <w:p w14:paraId="50C320EC"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68D2CE6E"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7A4643D9"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Identificación de necesidades o factores de riesgo</w:t>
      </w:r>
    </w:p>
    <w:p w14:paraId="74A5DFA1"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1A8110D0"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646EAFA3"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Captación y Tamizaje</w:t>
      </w:r>
    </w:p>
    <w:p w14:paraId="0554E346"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249FACDA"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¿Existe riesgo?</w:t>
      </w:r>
    </w:p>
    <w:p w14:paraId="1CB6F86C"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lastRenderedPageBreak/>
        <w:t xml:space="preserve">              ┌──────┴──────┐</w:t>
      </w:r>
    </w:p>
    <w:p w14:paraId="3264F6D1"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665D7083"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NO            SÍ</w:t>
      </w:r>
    </w:p>
    <w:p w14:paraId="29B24176"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3686069D"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Educación y promoción      ▼</w:t>
      </w:r>
    </w:p>
    <w:p w14:paraId="4EB87818"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Valoración Integral</w:t>
      </w:r>
    </w:p>
    <w:p w14:paraId="15E4205D"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6BBA5BFC"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6767C855"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Clasificación del Riesgo</w:t>
      </w:r>
    </w:p>
    <w:p w14:paraId="137D5367"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49F546D2"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61AACD2A"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Formulación del Plan Integral</w:t>
      </w:r>
    </w:p>
    <w:p w14:paraId="708DAD28"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0638BCC3"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49AE479A"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Intervención interdisciplinaria</w:t>
      </w:r>
    </w:p>
    <w:p w14:paraId="3DFDB2B7"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48BDF32B"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3A26868C"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¿Requiere Ruta Especial?</w:t>
      </w:r>
    </w:p>
    <w:p w14:paraId="73047F19"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0E8CE4E9"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           │</w:t>
      </w:r>
    </w:p>
    <w:p w14:paraId="4E3677D0"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NO          SÍ</w:t>
      </w:r>
    </w:p>
    <w:p w14:paraId="1A9F571B"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           │</w:t>
      </w:r>
    </w:p>
    <w:p w14:paraId="6DDD79E7"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 Activación de Ruta</w:t>
      </w:r>
    </w:p>
    <w:p w14:paraId="649A7D9D"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           │</w:t>
      </w:r>
    </w:p>
    <w:p w14:paraId="15D1E30E"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30003C98"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w:t>
      </w:r>
    </w:p>
    <w:p w14:paraId="14216904"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 Seguimiento Clínico</w:t>
      </w:r>
    </w:p>
    <w:p w14:paraId="60C6711A"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lastRenderedPageBreak/>
        <w:t xml:space="preserve">                        │</w:t>
      </w:r>
    </w:p>
    <w:p w14:paraId="37EDEA8E"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3D4C29F2"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Referencia / Contrarreferencia</w:t>
      </w:r>
    </w:p>
    <w:p w14:paraId="2DF1F305"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3604D2F2"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721D565E"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Cierre o Continuidad del caso</w:t>
      </w:r>
    </w:p>
    <w:p w14:paraId="6A8746C9"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62B389EC" w14:textId="77777777" w:rsidR="0057616A" w:rsidRPr="00BA7CC2" w:rsidRDefault="0057616A" w:rsidP="00BA7CC2">
      <w:pPr>
        <w:jc w:val="both"/>
        <w:rPr>
          <w:rFonts w:ascii="Arial" w:hAnsi="Arial" w:cs="Arial"/>
          <w:sz w:val="24"/>
          <w:szCs w:val="24"/>
        </w:rPr>
      </w:pPr>
      <w:r w:rsidRPr="00BA7CC2">
        <w:rPr>
          <w:rFonts w:ascii="Arial" w:hAnsi="Arial" w:cs="Arial"/>
          <w:sz w:val="24"/>
          <w:szCs w:val="24"/>
        </w:rPr>
        <w:t xml:space="preserve">                        ▼</w:t>
      </w:r>
    </w:p>
    <w:p w14:paraId="04821666" w14:textId="6B83B0AB" w:rsidR="00F72EF6" w:rsidRPr="00BA7CC2" w:rsidRDefault="0057616A" w:rsidP="00BA7CC2">
      <w:pPr>
        <w:jc w:val="both"/>
        <w:rPr>
          <w:rFonts w:ascii="Arial" w:hAnsi="Arial" w:cs="Arial"/>
          <w:sz w:val="24"/>
          <w:szCs w:val="24"/>
        </w:rPr>
      </w:pPr>
      <w:r w:rsidRPr="00BA7CC2">
        <w:rPr>
          <w:rFonts w:ascii="Arial" w:hAnsi="Arial" w:cs="Arial"/>
          <w:sz w:val="24"/>
          <w:szCs w:val="24"/>
        </w:rPr>
        <w:t xml:space="preserve">                       FIN</w:t>
      </w:r>
    </w:p>
    <w:p w14:paraId="4CD8D7C7" w14:textId="77777777" w:rsidR="00357B12" w:rsidRPr="00BA7CC2" w:rsidRDefault="00357B12" w:rsidP="00BA7CC2">
      <w:pPr>
        <w:pStyle w:val="Ttulo2"/>
        <w:jc w:val="both"/>
        <w:rPr>
          <w:rFonts w:cs="Arial"/>
          <w:szCs w:val="24"/>
        </w:rPr>
      </w:pPr>
    </w:p>
    <w:p w14:paraId="30AB2F44" w14:textId="043EF18F" w:rsidR="005468AC" w:rsidRPr="00BA7CC2" w:rsidRDefault="00357B12" w:rsidP="00BA7CC2">
      <w:pPr>
        <w:pStyle w:val="Ttulo2"/>
        <w:numPr>
          <w:ilvl w:val="1"/>
          <w:numId w:val="28"/>
        </w:numPr>
        <w:jc w:val="both"/>
        <w:rPr>
          <w:rFonts w:cs="Arial"/>
          <w:bCs/>
          <w:szCs w:val="24"/>
        </w:rPr>
      </w:pPr>
      <w:r w:rsidRPr="00BA7CC2">
        <w:rPr>
          <w:rFonts w:cs="Arial"/>
          <w:bCs/>
          <w:szCs w:val="24"/>
        </w:rPr>
        <w:t>Gestión del riesgo d</w:t>
      </w:r>
      <w:r w:rsidR="009E1F17">
        <w:rPr>
          <w:rFonts w:cs="Arial"/>
          <w:bCs/>
          <w:szCs w:val="24"/>
        </w:rPr>
        <w:t>el proceso de salud mental</w:t>
      </w:r>
    </w:p>
    <w:p w14:paraId="2CC125D2" w14:textId="77777777" w:rsidR="00357B12" w:rsidRPr="00BA7CC2" w:rsidRDefault="00357B12" w:rsidP="00BA7CC2">
      <w:pPr>
        <w:jc w:val="both"/>
        <w:rPr>
          <w:rFonts w:ascii="Arial" w:hAnsi="Arial" w:cs="Arial"/>
          <w:sz w:val="24"/>
          <w:szCs w:val="24"/>
        </w:rPr>
      </w:pPr>
    </w:p>
    <w:p w14:paraId="3241087D" w14:textId="3DCA4B6A" w:rsidR="005468AC" w:rsidRPr="00BA7CC2" w:rsidRDefault="005468AC" w:rsidP="00BA7CC2">
      <w:pPr>
        <w:jc w:val="both"/>
        <w:rPr>
          <w:rFonts w:ascii="Arial" w:hAnsi="Arial" w:cs="Arial"/>
          <w:sz w:val="24"/>
          <w:szCs w:val="24"/>
        </w:rPr>
      </w:pPr>
      <w:r w:rsidRPr="00BA7CC2">
        <w:rPr>
          <w:rFonts w:ascii="Arial" w:hAnsi="Arial" w:cs="Arial"/>
          <w:sz w:val="24"/>
          <w:szCs w:val="24"/>
        </w:rPr>
        <w:t>La Gestión Integral del Riesgo constituye un eje transversal del Subproceso de Salud Mental y tiene como propósito identificar, analizar, controlar y monitorear los riesgos que puedan afectar la seguridad del usuario, la calidad de la atención y el cumplimiento de los objetivos institucionales.</w:t>
      </w:r>
      <w:r w:rsidR="00414FD1" w:rsidRPr="00BA7CC2">
        <w:rPr>
          <w:rFonts w:ascii="Arial" w:hAnsi="Arial" w:cs="Arial"/>
          <w:sz w:val="24"/>
          <w:szCs w:val="24"/>
        </w:rPr>
        <w:t xml:space="preserve"> Los posibles riesgos que se pueden materializar en el subproceso son los siguientes: </w:t>
      </w:r>
    </w:p>
    <w:tbl>
      <w:tblPr>
        <w:tblStyle w:val="Tablaconcuadrcula"/>
        <w:tblW w:w="0" w:type="auto"/>
        <w:tblLook w:val="04A0" w:firstRow="1" w:lastRow="0" w:firstColumn="1" w:lastColumn="0" w:noHBand="0" w:noVBand="1"/>
      </w:tblPr>
      <w:tblGrid>
        <w:gridCol w:w="3347"/>
        <w:gridCol w:w="2370"/>
        <w:gridCol w:w="3111"/>
      </w:tblGrid>
      <w:tr w:rsidR="005468AC" w:rsidRPr="00BA7CC2" w14:paraId="12B3F37E" w14:textId="77777777" w:rsidTr="00357B12">
        <w:tc>
          <w:tcPr>
            <w:tcW w:w="0" w:type="auto"/>
            <w:shd w:val="clear" w:color="auto" w:fill="0070C0"/>
            <w:hideMark/>
          </w:tcPr>
          <w:p w14:paraId="03EF7383" w14:textId="77777777" w:rsidR="005468AC" w:rsidRPr="00BA7CC2" w:rsidRDefault="005468AC" w:rsidP="009C3F65">
            <w:pPr>
              <w:jc w:val="center"/>
              <w:rPr>
                <w:rFonts w:ascii="Arial" w:hAnsi="Arial" w:cs="Arial"/>
                <w:b/>
                <w:bCs/>
                <w:color w:val="FFFFFF" w:themeColor="background1"/>
                <w:sz w:val="24"/>
                <w:szCs w:val="24"/>
              </w:rPr>
            </w:pPr>
            <w:r w:rsidRPr="00BA7CC2">
              <w:rPr>
                <w:rFonts w:ascii="Arial" w:hAnsi="Arial" w:cs="Arial"/>
                <w:b/>
                <w:bCs/>
                <w:color w:val="FFFFFF" w:themeColor="background1"/>
                <w:sz w:val="24"/>
                <w:szCs w:val="24"/>
              </w:rPr>
              <w:t>Riesgo</w:t>
            </w:r>
          </w:p>
        </w:tc>
        <w:tc>
          <w:tcPr>
            <w:tcW w:w="0" w:type="auto"/>
            <w:shd w:val="clear" w:color="auto" w:fill="0070C0"/>
            <w:hideMark/>
          </w:tcPr>
          <w:p w14:paraId="142F22BD" w14:textId="77777777" w:rsidR="005468AC" w:rsidRPr="00BA7CC2" w:rsidRDefault="005468AC" w:rsidP="009C3F65">
            <w:pPr>
              <w:jc w:val="center"/>
              <w:rPr>
                <w:rFonts w:ascii="Arial" w:hAnsi="Arial" w:cs="Arial"/>
                <w:b/>
                <w:bCs/>
                <w:color w:val="FFFFFF" w:themeColor="background1"/>
                <w:sz w:val="24"/>
                <w:szCs w:val="24"/>
              </w:rPr>
            </w:pPr>
            <w:r w:rsidRPr="00BA7CC2">
              <w:rPr>
                <w:rFonts w:ascii="Arial" w:hAnsi="Arial" w:cs="Arial"/>
                <w:b/>
                <w:bCs/>
                <w:color w:val="FFFFFF" w:themeColor="background1"/>
                <w:sz w:val="24"/>
                <w:szCs w:val="24"/>
              </w:rPr>
              <w:t>Consecuencia</w:t>
            </w:r>
          </w:p>
        </w:tc>
        <w:tc>
          <w:tcPr>
            <w:tcW w:w="0" w:type="auto"/>
            <w:shd w:val="clear" w:color="auto" w:fill="0070C0"/>
            <w:hideMark/>
          </w:tcPr>
          <w:p w14:paraId="6F545E56" w14:textId="77777777" w:rsidR="005468AC" w:rsidRPr="00BA7CC2" w:rsidRDefault="005468AC" w:rsidP="009C3F65">
            <w:pPr>
              <w:jc w:val="center"/>
              <w:rPr>
                <w:rFonts w:ascii="Arial" w:hAnsi="Arial" w:cs="Arial"/>
                <w:b/>
                <w:bCs/>
                <w:color w:val="FFFFFF" w:themeColor="background1"/>
                <w:sz w:val="24"/>
                <w:szCs w:val="24"/>
              </w:rPr>
            </w:pPr>
            <w:r w:rsidRPr="00BA7CC2">
              <w:rPr>
                <w:rFonts w:ascii="Arial" w:hAnsi="Arial" w:cs="Arial"/>
                <w:b/>
                <w:bCs/>
                <w:color w:val="FFFFFF" w:themeColor="background1"/>
                <w:sz w:val="24"/>
                <w:szCs w:val="24"/>
              </w:rPr>
              <w:t>Control</w:t>
            </w:r>
          </w:p>
        </w:tc>
      </w:tr>
      <w:tr w:rsidR="005468AC" w:rsidRPr="00BA7CC2" w14:paraId="5CDF0422" w14:textId="77777777" w:rsidTr="00357B12">
        <w:tc>
          <w:tcPr>
            <w:tcW w:w="0" w:type="auto"/>
            <w:hideMark/>
          </w:tcPr>
          <w:p w14:paraId="1C90F221"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No identificar oportunamente trastornos mentales</w:t>
            </w:r>
          </w:p>
        </w:tc>
        <w:tc>
          <w:tcPr>
            <w:tcW w:w="0" w:type="auto"/>
            <w:hideMark/>
          </w:tcPr>
          <w:p w14:paraId="7FA5AF28"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Agravamiento clínico</w:t>
            </w:r>
          </w:p>
        </w:tc>
        <w:tc>
          <w:tcPr>
            <w:tcW w:w="0" w:type="auto"/>
            <w:hideMark/>
          </w:tcPr>
          <w:p w14:paraId="123D8333"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Aplicación de tamizajes institucionales</w:t>
            </w:r>
          </w:p>
        </w:tc>
      </w:tr>
      <w:tr w:rsidR="005468AC" w:rsidRPr="00BA7CC2" w14:paraId="6A4EF370" w14:textId="77777777" w:rsidTr="00357B12">
        <w:tc>
          <w:tcPr>
            <w:tcW w:w="0" w:type="auto"/>
            <w:hideMark/>
          </w:tcPr>
          <w:p w14:paraId="72AE6690"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No detectar conducta suicida</w:t>
            </w:r>
          </w:p>
        </w:tc>
        <w:tc>
          <w:tcPr>
            <w:tcW w:w="0" w:type="auto"/>
            <w:hideMark/>
          </w:tcPr>
          <w:p w14:paraId="27A196D4"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Riesgo para la vida</w:t>
            </w:r>
          </w:p>
        </w:tc>
        <w:tc>
          <w:tcPr>
            <w:tcW w:w="0" w:type="auto"/>
            <w:hideMark/>
          </w:tcPr>
          <w:p w14:paraId="7D2407DF"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Valoración inmediata y activación de la ruta</w:t>
            </w:r>
          </w:p>
        </w:tc>
      </w:tr>
      <w:tr w:rsidR="005468AC" w:rsidRPr="00BA7CC2" w14:paraId="4B9AB22B" w14:textId="77777777" w:rsidTr="00357B12">
        <w:tc>
          <w:tcPr>
            <w:tcW w:w="0" w:type="auto"/>
            <w:hideMark/>
          </w:tcPr>
          <w:p w14:paraId="71DE1296"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Omisión en la identificación de violencias</w:t>
            </w:r>
          </w:p>
        </w:tc>
        <w:tc>
          <w:tcPr>
            <w:tcW w:w="0" w:type="auto"/>
            <w:hideMark/>
          </w:tcPr>
          <w:p w14:paraId="6F7BEAD7"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Revictimización</w:t>
            </w:r>
          </w:p>
        </w:tc>
        <w:tc>
          <w:tcPr>
            <w:tcW w:w="0" w:type="auto"/>
            <w:hideMark/>
          </w:tcPr>
          <w:p w14:paraId="7FED3F1A"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Capacitación permanente y listas de verificación</w:t>
            </w:r>
          </w:p>
        </w:tc>
      </w:tr>
      <w:tr w:rsidR="005468AC" w:rsidRPr="00BA7CC2" w14:paraId="56FCD5B9" w14:textId="77777777" w:rsidTr="00357B12">
        <w:tc>
          <w:tcPr>
            <w:tcW w:w="0" w:type="auto"/>
            <w:hideMark/>
          </w:tcPr>
          <w:p w14:paraId="08B200DA"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Incumplimiento de seguimiento</w:t>
            </w:r>
          </w:p>
        </w:tc>
        <w:tc>
          <w:tcPr>
            <w:tcW w:w="0" w:type="auto"/>
            <w:hideMark/>
          </w:tcPr>
          <w:p w14:paraId="2FD76DE2"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Deserción del tratamiento</w:t>
            </w:r>
          </w:p>
        </w:tc>
        <w:tc>
          <w:tcPr>
            <w:tcW w:w="0" w:type="auto"/>
            <w:hideMark/>
          </w:tcPr>
          <w:p w14:paraId="769F43E6"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Agenda de controles y llamadas de seguimiento</w:t>
            </w:r>
          </w:p>
        </w:tc>
      </w:tr>
      <w:tr w:rsidR="005468AC" w:rsidRPr="00BA7CC2" w14:paraId="2D976666" w14:textId="77777777" w:rsidTr="00357B12">
        <w:tc>
          <w:tcPr>
            <w:tcW w:w="0" w:type="auto"/>
            <w:hideMark/>
          </w:tcPr>
          <w:p w14:paraId="3CA00E1F"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No notificar eventos SIVIGILA</w:t>
            </w:r>
          </w:p>
        </w:tc>
        <w:tc>
          <w:tcPr>
            <w:tcW w:w="0" w:type="auto"/>
            <w:hideMark/>
          </w:tcPr>
          <w:p w14:paraId="634A9506"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Incumplimiento normativo</w:t>
            </w:r>
          </w:p>
        </w:tc>
        <w:tc>
          <w:tcPr>
            <w:tcW w:w="0" w:type="auto"/>
            <w:hideMark/>
          </w:tcPr>
          <w:p w14:paraId="3F43F83F"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Auditoría mensual de historias clínicas</w:t>
            </w:r>
          </w:p>
        </w:tc>
      </w:tr>
      <w:tr w:rsidR="005468AC" w:rsidRPr="00BA7CC2" w14:paraId="2AADF7A2" w14:textId="77777777" w:rsidTr="00357B12">
        <w:tc>
          <w:tcPr>
            <w:tcW w:w="0" w:type="auto"/>
            <w:hideMark/>
          </w:tcPr>
          <w:p w14:paraId="244024E8"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Errores en historia clínica</w:t>
            </w:r>
          </w:p>
        </w:tc>
        <w:tc>
          <w:tcPr>
            <w:tcW w:w="0" w:type="auto"/>
            <w:hideMark/>
          </w:tcPr>
          <w:p w14:paraId="4BD4A78E"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Riesgo legal</w:t>
            </w:r>
          </w:p>
        </w:tc>
        <w:tc>
          <w:tcPr>
            <w:tcW w:w="0" w:type="auto"/>
            <w:hideMark/>
          </w:tcPr>
          <w:p w14:paraId="382CD32B"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Auditorías de calidad y capacitación</w:t>
            </w:r>
          </w:p>
        </w:tc>
      </w:tr>
      <w:tr w:rsidR="005468AC" w:rsidRPr="00BA7CC2" w14:paraId="5804873C" w14:textId="77777777" w:rsidTr="00357B12">
        <w:tc>
          <w:tcPr>
            <w:tcW w:w="0" w:type="auto"/>
            <w:hideMark/>
          </w:tcPr>
          <w:p w14:paraId="6F01C19D"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Remisiones tardías</w:t>
            </w:r>
          </w:p>
        </w:tc>
        <w:tc>
          <w:tcPr>
            <w:tcW w:w="0" w:type="auto"/>
            <w:hideMark/>
          </w:tcPr>
          <w:p w14:paraId="316D93FB"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Complicaciones clínicas</w:t>
            </w:r>
          </w:p>
        </w:tc>
        <w:tc>
          <w:tcPr>
            <w:tcW w:w="0" w:type="auto"/>
            <w:hideMark/>
          </w:tcPr>
          <w:p w14:paraId="53D2C60B"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Criterios institucionales de referencia</w:t>
            </w:r>
          </w:p>
        </w:tc>
      </w:tr>
      <w:tr w:rsidR="005468AC" w:rsidRPr="00BA7CC2" w14:paraId="40E04680" w14:textId="77777777" w:rsidTr="00357B12">
        <w:tc>
          <w:tcPr>
            <w:tcW w:w="0" w:type="auto"/>
            <w:hideMark/>
          </w:tcPr>
          <w:p w14:paraId="40C4F093"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Estigmatización del usuario</w:t>
            </w:r>
          </w:p>
        </w:tc>
        <w:tc>
          <w:tcPr>
            <w:tcW w:w="0" w:type="auto"/>
            <w:hideMark/>
          </w:tcPr>
          <w:p w14:paraId="5E4E00D5"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Barreras de acceso</w:t>
            </w:r>
          </w:p>
        </w:tc>
        <w:tc>
          <w:tcPr>
            <w:tcW w:w="0" w:type="auto"/>
            <w:hideMark/>
          </w:tcPr>
          <w:p w14:paraId="7182C584"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Política institucional de humanización</w:t>
            </w:r>
          </w:p>
        </w:tc>
      </w:tr>
      <w:tr w:rsidR="005468AC" w:rsidRPr="00BA7CC2" w14:paraId="688915B2" w14:textId="77777777" w:rsidTr="00357B12">
        <w:tc>
          <w:tcPr>
            <w:tcW w:w="0" w:type="auto"/>
            <w:hideMark/>
          </w:tcPr>
          <w:p w14:paraId="76FD658D"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Falta de articulación intersectorial</w:t>
            </w:r>
          </w:p>
        </w:tc>
        <w:tc>
          <w:tcPr>
            <w:tcW w:w="0" w:type="auto"/>
            <w:hideMark/>
          </w:tcPr>
          <w:p w14:paraId="722DD63E"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Fragmentación del cuidado</w:t>
            </w:r>
          </w:p>
        </w:tc>
        <w:tc>
          <w:tcPr>
            <w:tcW w:w="0" w:type="auto"/>
            <w:hideMark/>
          </w:tcPr>
          <w:p w14:paraId="63810AD2"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Mesas técnicas y rutas de coordinación</w:t>
            </w:r>
          </w:p>
        </w:tc>
      </w:tr>
      <w:tr w:rsidR="005468AC" w:rsidRPr="00BA7CC2" w14:paraId="5878A9D2" w14:textId="77777777" w:rsidTr="00357B12">
        <w:tc>
          <w:tcPr>
            <w:tcW w:w="0" w:type="auto"/>
            <w:hideMark/>
          </w:tcPr>
          <w:p w14:paraId="6E122DB8"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lastRenderedPageBreak/>
              <w:t>Desactualización del talento humano</w:t>
            </w:r>
          </w:p>
        </w:tc>
        <w:tc>
          <w:tcPr>
            <w:tcW w:w="0" w:type="auto"/>
            <w:hideMark/>
          </w:tcPr>
          <w:p w14:paraId="4A70E6CD"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Atención no estandarizada</w:t>
            </w:r>
          </w:p>
        </w:tc>
        <w:tc>
          <w:tcPr>
            <w:tcW w:w="0" w:type="auto"/>
            <w:hideMark/>
          </w:tcPr>
          <w:p w14:paraId="68532328" w14:textId="77777777" w:rsidR="005468AC" w:rsidRPr="00BA7CC2" w:rsidRDefault="005468AC" w:rsidP="00BA7CC2">
            <w:pPr>
              <w:jc w:val="both"/>
              <w:rPr>
                <w:rFonts w:ascii="Arial" w:hAnsi="Arial" w:cs="Arial"/>
                <w:sz w:val="24"/>
                <w:szCs w:val="24"/>
              </w:rPr>
            </w:pPr>
            <w:r w:rsidRPr="00BA7CC2">
              <w:rPr>
                <w:rFonts w:ascii="Arial" w:hAnsi="Arial" w:cs="Arial"/>
                <w:sz w:val="24"/>
                <w:szCs w:val="24"/>
              </w:rPr>
              <w:t>Plan anual de capacitación</w:t>
            </w:r>
          </w:p>
        </w:tc>
      </w:tr>
    </w:tbl>
    <w:p w14:paraId="7D3E7792" w14:textId="77777777" w:rsidR="00414FD1" w:rsidRPr="00BA7CC2" w:rsidRDefault="00414FD1" w:rsidP="00BA7CC2">
      <w:pPr>
        <w:pStyle w:val="Ttulo1"/>
        <w:jc w:val="both"/>
        <w:rPr>
          <w:rFonts w:cs="Arial"/>
          <w:szCs w:val="24"/>
        </w:rPr>
      </w:pPr>
    </w:p>
    <w:p w14:paraId="28658BA4" w14:textId="7B0F53D0" w:rsidR="00065B6A" w:rsidRDefault="00357B12" w:rsidP="00BA7CC2">
      <w:pPr>
        <w:pStyle w:val="Ttulo2"/>
        <w:numPr>
          <w:ilvl w:val="1"/>
          <w:numId w:val="28"/>
        </w:numPr>
      </w:pPr>
      <w:r w:rsidRPr="00BA7CC2">
        <w:t>Políticas de MIPG</w:t>
      </w:r>
    </w:p>
    <w:p w14:paraId="574C9999" w14:textId="77777777" w:rsidR="00BA7CC2" w:rsidRPr="00BA7CC2" w:rsidRDefault="00BA7CC2" w:rsidP="00BA7CC2"/>
    <w:p w14:paraId="5AAADA95" w14:textId="77777777" w:rsidR="00065B6A" w:rsidRPr="00BA7CC2" w:rsidRDefault="00065B6A" w:rsidP="00BA7CC2">
      <w:pPr>
        <w:jc w:val="both"/>
        <w:rPr>
          <w:rFonts w:ascii="Arial" w:hAnsi="Arial" w:cs="Arial"/>
          <w:sz w:val="24"/>
          <w:szCs w:val="24"/>
        </w:rPr>
      </w:pPr>
      <w:r w:rsidRPr="00BA7CC2">
        <w:rPr>
          <w:rFonts w:ascii="Arial" w:hAnsi="Arial" w:cs="Arial"/>
          <w:sz w:val="24"/>
          <w:szCs w:val="24"/>
        </w:rPr>
        <w:t>El Subproceso de Gestión Integral de la Atención en Salud Mental aporta al cumplimiento del Modelo Integrado de Planeación y Gestión mediante la implementación de las siguientes políticas:</w:t>
      </w:r>
    </w:p>
    <w:p w14:paraId="67907552"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Gestión Estratégica del Talento Humano. </w:t>
      </w:r>
    </w:p>
    <w:p w14:paraId="2BF1B9E9"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Integridad. </w:t>
      </w:r>
    </w:p>
    <w:p w14:paraId="7375E16E"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Planeación Institucional. </w:t>
      </w:r>
    </w:p>
    <w:p w14:paraId="0C56253C"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Gestión Presupuestal y Eficiencia del Gasto Público. </w:t>
      </w:r>
    </w:p>
    <w:p w14:paraId="5FDF3467"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Fortalecimiento Organizacional y Simplificación de Procesos. </w:t>
      </w:r>
    </w:p>
    <w:p w14:paraId="10EA49CF"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Gobierno Digital. </w:t>
      </w:r>
    </w:p>
    <w:p w14:paraId="071E3D61"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Seguridad Digital. </w:t>
      </w:r>
    </w:p>
    <w:p w14:paraId="2E25680A"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Defensa Jurídica. </w:t>
      </w:r>
    </w:p>
    <w:p w14:paraId="6C150B24"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Servicio al Ciudadano. </w:t>
      </w:r>
    </w:p>
    <w:p w14:paraId="7E59572A"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Racionalización de Trámites. </w:t>
      </w:r>
    </w:p>
    <w:p w14:paraId="4471E676"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Participación Ciudadana en la Gestión Pública. </w:t>
      </w:r>
    </w:p>
    <w:p w14:paraId="60A30E9D"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Seguimiento y Evaluación del Desempeño Institucional. </w:t>
      </w:r>
    </w:p>
    <w:p w14:paraId="6A747D64"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Gestión Documental. </w:t>
      </w:r>
    </w:p>
    <w:p w14:paraId="11FB55CC"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Transparencia, Acceso a la Información Pública y Lucha contra la Corrupción. </w:t>
      </w:r>
    </w:p>
    <w:p w14:paraId="72173F3C"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Gestión del Conocimiento y la Innovación. </w:t>
      </w:r>
    </w:p>
    <w:p w14:paraId="00E1CF9F" w14:textId="77777777" w:rsidR="00065B6A" w:rsidRPr="00BA7CC2" w:rsidRDefault="00065B6A" w:rsidP="00BA7CC2">
      <w:pPr>
        <w:pStyle w:val="Prrafodelista"/>
        <w:numPr>
          <w:ilvl w:val="0"/>
          <w:numId w:val="26"/>
        </w:numPr>
        <w:jc w:val="both"/>
        <w:rPr>
          <w:rFonts w:ascii="Arial" w:hAnsi="Arial" w:cs="Arial"/>
          <w:sz w:val="24"/>
          <w:szCs w:val="24"/>
        </w:rPr>
      </w:pPr>
      <w:r w:rsidRPr="00BA7CC2">
        <w:rPr>
          <w:rFonts w:ascii="Arial" w:hAnsi="Arial" w:cs="Arial"/>
          <w:sz w:val="24"/>
          <w:szCs w:val="24"/>
        </w:rPr>
        <w:t xml:space="preserve">Control Interno. </w:t>
      </w:r>
    </w:p>
    <w:p w14:paraId="71E6ACBF" w14:textId="77777777" w:rsidR="00065B6A" w:rsidRPr="00BA7CC2" w:rsidRDefault="00065B6A" w:rsidP="00BA7CC2">
      <w:pPr>
        <w:jc w:val="both"/>
        <w:rPr>
          <w:rFonts w:ascii="Arial" w:hAnsi="Arial" w:cs="Arial"/>
          <w:sz w:val="24"/>
          <w:szCs w:val="24"/>
        </w:rPr>
      </w:pPr>
      <w:r w:rsidRPr="00BA7CC2">
        <w:rPr>
          <w:rFonts w:ascii="Arial" w:hAnsi="Arial" w:cs="Arial"/>
          <w:sz w:val="24"/>
          <w:szCs w:val="24"/>
        </w:rPr>
        <w:t>El desarrollo del subproceso incorpora los principios de eficiencia, eficacia, efectividad, transparencia, participación ciudadana, enfoque de riesgos, mejoramiento continuo y generación de valor público.</w:t>
      </w:r>
    </w:p>
    <w:p w14:paraId="424968EC" w14:textId="77777777" w:rsidR="00996BB9" w:rsidRPr="00BA7CC2" w:rsidRDefault="00996BB9" w:rsidP="00BA7CC2">
      <w:pPr>
        <w:jc w:val="both"/>
        <w:rPr>
          <w:rFonts w:ascii="Arial" w:hAnsi="Arial" w:cs="Arial"/>
          <w:sz w:val="24"/>
          <w:szCs w:val="24"/>
        </w:rPr>
      </w:pPr>
    </w:p>
    <w:p w14:paraId="64E6FAF3" w14:textId="77777777" w:rsidR="00357B12" w:rsidRPr="00BA7CC2" w:rsidRDefault="00357B12" w:rsidP="00BA7CC2">
      <w:pPr>
        <w:jc w:val="both"/>
        <w:rPr>
          <w:rFonts w:ascii="Arial" w:hAnsi="Arial" w:cs="Arial"/>
          <w:sz w:val="24"/>
          <w:szCs w:val="24"/>
        </w:rPr>
      </w:pPr>
    </w:p>
    <w:p w14:paraId="063F5818" w14:textId="77777777" w:rsidR="00996BB9" w:rsidRPr="00BA7CC2" w:rsidRDefault="00996BB9" w:rsidP="00BA7CC2">
      <w:pPr>
        <w:pStyle w:val="Ttulo2"/>
        <w:numPr>
          <w:ilvl w:val="1"/>
          <w:numId w:val="28"/>
        </w:numPr>
        <w:jc w:val="both"/>
        <w:rPr>
          <w:rFonts w:cs="Arial"/>
          <w:szCs w:val="24"/>
          <w:lang w:val="es-ES"/>
        </w:rPr>
      </w:pPr>
      <w:bookmarkStart w:id="0" w:name="_Hlk90028125"/>
      <w:r w:rsidRPr="00BA7CC2">
        <w:rPr>
          <w:rFonts w:cs="Arial"/>
          <w:szCs w:val="24"/>
          <w:lang w:val="es-ES"/>
        </w:rPr>
        <w:t>Talento humano que participa de las actividades esenciales</w:t>
      </w:r>
    </w:p>
    <w:p w14:paraId="4723386E" w14:textId="77777777" w:rsidR="00996BB9" w:rsidRPr="00BA7CC2" w:rsidRDefault="00996BB9" w:rsidP="00BA7CC2">
      <w:pPr>
        <w:jc w:val="both"/>
        <w:rPr>
          <w:rFonts w:ascii="Arial" w:hAnsi="Arial" w:cs="Arial"/>
          <w:b/>
          <w:bCs/>
          <w:sz w:val="24"/>
          <w:szCs w:val="24"/>
          <w:lang w:val="es-ES"/>
        </w:rPr>
      </w:pPr>
    </w:p>
    <w:tbl>
      <w:tblPr>
        <w:tblStyle w:val="Tablaconcuadrcula"/>
        <w:tblW w:w="9634" w:type="dxa"/>
        <w:tblLook w:val="04A0" w:firstRow="1" w:lastRow="0" w:firstColumn="1" w:lastColumn="0" w:noHBand="0" w:noVBand="1"/>
      </w:tblPr>
      <w:tblGrid>
        <w:gridCol w:w="7669"/>
        <w:gridCol w:w="1965"/>
      </w:tblGrid>
      <w:tr w:rsidR="00996BB9" w:rsidRPr="00BA7CC2" w14:paraId="0AB728B8" w14:textId="77777777" w:rsidTr="00357B12">
        <w:tc>
          <w:tcPr>
            <w:tcW w:w="7585" w:type="dxa"/>
            <w:shd w:val="clear" w:color="auto" w:fill="0070C0"/>
            <w:hideMark/>
          </w:tcPr>
          <w:p w14:paraId="6F1CA899" w14:textId="77777777" w:rsidR="00996BB9" w:rsidRPr="00BA7CC2" w:rsidRDefault="00996BB9" w:rsidP="009C3F65">
            <w:pPr>
              <w:spacing w:after="160" w:line="259" w:lineRule="auto"/>
              <w:jc w:val="center"/>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Descripción</w:t>
            </w:r>
          </w:p>
        </w:tc>
        <w:tc>
          <w:tcPr>
            <w:tcW w:w="2049" w:type="dxa"/>
            <w:shd w:val="clear" w:color="auto" w:fill="0070C0"/>
            <w:hideMark/>
          </w:tcPr>
          <w:p w14:paraId="397CFB08" w14:textId="77777777" w:rsidR="00996BB9" w:rsidRPr="00BA7CC2" w:rsidRDefault="00996BB9" w:rsidP="009C3F65">
            <w:pPr>
              <w:spacing w:after="160" w:line="259" w:lineRule="auto"/>
              <w:jc w:val="center"/>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Cantidad</w:t>
            </w:r>
          </w:p>
        </w:tc>
      </w:tr>
      <w:tr w:rsidR="00996BB9" w:rsidRPr="00BA7CC2" w14:paraId="1F240AD5" w14:textId="77777777" w:rsidTr="00357B12">
        <w:tc>
          <w:tcPr>
            <w:tcW w:w="0" w:type="auto"/>
            <w:hideMark/>
          </w:tcPr>
          <w:p w14:paraId="2FA1C0E9"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Subgerencia Científica</w:t>
            </w:r>
          </w:p>
        </w:tc>
        <w:tc>
          <w:tcPr>
            <w:tcW w:w="2049" w:type="dxa"/>
            <w:hideMark/>
          </w:tcPr>
          <w:p w14:paraId="6B72689C"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14743A73" w14:textId="77777777" w:rsidTr="00357B12">
        <w:tc>
          <w:tcPr>
            <w:tcW w:w="0" w:type="auto"/>
            <w:hideMark/>
          </w:tcPr>
          <w:p w14:paraId="44C03F0E"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lastRenderedPageBreak/>
              <w:t>Coordinación de Consulta Externa</w:t>
            </w:r>
          </w:p>
        </w:tc>
        <w:tc>
          <w:tcPr>
            <w:tcW w:w="2049" w:type="dxa"/>
            <w:hideMark/>
          </w:tcPr>
          <w:p w14:paraId="1E3FE656"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193C8E00" w14:textId="77777777" w:rsidTr="00357B12">
        <w:tc>
          <w:tcPr>
            <w:tcW w:w="0" w:type="auto"/>
            <w:hideMark/>
          </w:tcPr>
          <w:p w14:paraId="49F31303"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Coordinación de Promoción y Mantenimiento de la Salud</w:t>
            </w:r>
          </w:p>
        </w:tc>
        <w:tc>
          <w:tcPr>
            <w:tcW w:w="2049" w:type="dxa"/>
            <w:hideMark/>
          </w:tcPr>
          <w:p w14:paraId="0D2D2DA3"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2A19CB02" w14:textId="77777777" w:rsidTr="00357B12">
        <w:tc>
          <w:tcPr>
            <w:tcW w:w="0" w:type="auto"/>
            <w:hideMark/>
          </w:tcPr>
          <w:p w14:paraId="432049ED"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Coordinación de Urgencias</w:t>
            </w:r>
          </w:p>
        </w:tc>
        <w:tc>
          <w:tcPr>
            <w:tcW w:w="2049" w:type="dxa"/>
            <w:hideMark/>
          </w:tcPr>
          <w:p w14:paraId="48C0DE37"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55872463" w14:textId="77777777" w:rsidTr="00357B12">
        <w:tc>
          <w:tcPr>
            <w:tcW w:w="0" w:type="auto"/>
            <w:hideMark/>
          </w:tcPr>
          <w:p w14:paraId="3A8DDC33"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Psicólogo</w:t>
            </w:r>
          </w:p>
        </w:tc>
        <w:tc>
          <w:tcPr>
            <w:tcW w:w="2049" w:type="dxa"/>
            <w:hideMark/>
          </w:tcPr>
          <w:p w14:paraId="6F456D83"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46EF4CF0" w14:textId="77777777" w:rsidTr="00357B12">
        <w:tc>
          <w:tcPr>
            <w:tcW w:w="0" w:type="auto"/>
            <w:hideMark/>
          </w:tcPr>
          <w:p w14:paraId="3C8BD616"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 general</w:t>
            </w:r>
          </w:p>
        </w:tc>
        <w:tc>
          <w:tcPr>
            <w:tcW w:w="2049" w:type="dxa"/>
            <w:hideMark/>
          </w:tcPr>
          <w:p w14:paraId="5BA0E7F3"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740747E2" w14:textId="77777777" w:rsidTr="00357B12">
        <w:tc>
          <w:tcPr>
            <w:tcW w:w="0" w:type="auto"/>
            <w:hideMark/>
          </w:tcPr>
          <w:p w14:paraId="65677019"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 especialista</w:t>
            </w:r>
          </w:p>
        </w:tc>
        <w:tc>
          <w:tcPr>
            <w:tcW w:w="2049" w:type="dxa"/>
            <w:hideMark/>
          </w:tcPr>
          <w:p w14:paraId="4C4451E9"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2C529F85" w14:textId="77777777" w:rsidTr="00357B12">
        <w:tc>
          <w:tcPr>
            <w:tcW w:w="0" w:type="auto"/>
            <w:hideMark/>
          </w:tcPr>
          <w:p w14:paraId="565DAD0D"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Enfermero profesional</w:t>
            </w:r>
          </w:p>
        </w:tc>
        <w:tc>
          <w:tcPr>
            <w:tcW w:w="2049" w:type="dxa"/>
            <w:hideMark/>
          </w:tcPr>
          <w:p w14:paraId="62C4A09D"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2604E30F" w14:textId="77777777" w:rsidTr="00357B12">
        <w:tc>
          <w:tcPr>
            <w:tcW w:w="0" w:type="auto"/>
            <w:hideMark/>
          </w:tcPr>
          <w:p w14:paraId="78BE8E26"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Auxiliar de enfermería</w:t>
            </w:r>
          </w:p>
        </w:tc>
        <w:tc>
          <w:tcPr>
            <w:tcW w:w="2049" w:type="dxa"/>
            <w:hideMark/>
          </w:tcPr>
          <w:p w14:paraId="41604A08"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27B73DB3" w14:textId="77777777" w:rsidTr="00357B12">
        <w:tc>
          <w:tcPr>
            <w:tcW w:w="0" w:type="auto"/>
            <w:hideMark/>
          </w:tcPr>
          <w:p w14:paraId="24877B3C"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Personal de admisiones</w:t>
            </w:r>
          </w:p>
        </w:tc>
        <w:tc>
          <w:tcPr>
            <w:tcW w:w="2049" w:type="dxa"/>
            <w:hideMark/>
          </w:tcPr>
          <w:p w14:paraId="7C8F7CE4"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20DF70CE" w14:textId="77777777" w:rsidTr="00357B12">
        <w:tc>
          <w:tcPr>
            <w:tcW w:w="0" w:type="auto"/>
            <w:hideMark/>
          </w:tcPr>
          <w:p w14:paraId="3BC6D412"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Referencia y Contrarreferencia</w:t>
            </w:r>
          </w:p>
        </w:tc>
        <w:tc>
          <w:tcPr>
            <w:tcW w:w="2049" w:type="dxa"/>
            <w:hideMark/>
          </w:tcPr>
          <w:p w14:paraId="55C27A6C"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2ACCB5C6" w14:textId="77777777" w:rsidTr="00357B12">
        <w:tc>
          <w:tcPr>
            <w:tcW w:w="0" w:type="auto"/>
            <w:hideMark/>
          </w:tcPr>
          <w:p w14:paraId="36F75412"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Vigilancia Epidemiológica</w:t>
            </w:r>
          </w:p>
        </w:tc>
        <w:tc>
          <w:tcPr>
            <w:tcW w:w="2049" w:type="dxa"/>
            <w:hideMark/>
          </w:tcPr>
          <w:p w14:paraId="49610A15"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3E0309E5" w14:textId="77777777" w:rsidTr="00357B12">
        <w:tc>
          <w:tcPr>
            <w:tcW w:w="0" w:type="auto"/>
            <w:hideMark/>
          </w:tcPr>
          <w:p w14:paraId="0A664739"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Seguridad del Paciente</w:t>
            </w:r>
          </w:p>
        </w:tc>
        <w:tc>
          <w:tcPr>
            <w:tcW w:w="2049" w:type="dxa"/>
            <w:hideMark/>
          </w:tcPr>
          <w:p w14:paraId="10C70477"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6B4FB6D2" w14:textId="77777777" w:rsidTr="00357B12">
        <w:tc>
          <w:tcPr>
            <w:tcW w:w="0" w:type="auto"/>
            <w:hideMark/>
          </w:tcPr>
          <w:p w14:paraId="159F66AB"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Equipo de Calidad</w:t>
            </w:r>
          </w:p>
        </w:tc>
        <w:tc>
          <w:tcPr>
            <w:tcW w:w="2049" w:type="dxa"/>
            <w:hideMark/>
          </w:tcPr>
          <w:p w14:paraId="1F3264BF"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r w:rsidR="00996BB9" w:rsidRPr="00BA7CC2" w14:paraId="4BC0C10D" w14:textId="77777777" w:rsidTr="00357B12">
        <w:tc>
          <w:tcPr>
            <w:tcW w:w="0" w:type="auto"/>
            <w:hideMark/>
          </w:tcPr>
          <w:p w14:paraId="6C258269"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Demás profesionales que identifiquen situaciones de riesgo en salud mental</w:t>
            </w:r>
          </w:p>
        </w:tc>
        <w:tc>
          <w:tcPr>
            <w:tcW w:w="2049" w:type="dxa"/>
            <w:hideMark/>
          </w:tcPr>
          <w:p w14:paraId="7608D42D"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1</w:t>
            </w:r>
          </w:p>
        </w:tc>
      </w:tr>
    </w:tbl>
    <w:p w14:paraId="278F76C9" w14:textId="77777777" w:rsidR="00996BB9" w:rsidRPr="00BA7CC2" w:rsidRDefault="00996BB9" w:rsidP="00BA7CC2">
      <w:pPr>
        <w:jc w:val="both"/>
        <w:rPr>
          <w:rFonts w:ascii="Arial" w:hAnsi="Arial" w:cs="Arial"/>
          <w:b/>
          <w:bCs/>
          <w:sz w:val="24"/>
          <w:szCs w:val="24"/>
          <w:lang w:val="es-ES"/>
        </w:rPr>
      </w:pPr>
    </w:p>
    <w:p w14:paraId="5B142D5B" w14:textId="06805C9C" w:rsidR="00996BB9" w:rsidRPr="00BA7CC2" w:rsidRDefault="00996BB9" w:rsidP="00BA7CC2">
      <w:pPr>
        <w:pStyle w:val="Ttulo2"/>
        <w:numPr>
          <w:ilvl w:val="1"/>
          <w:numId w:val="28"/>
        </w:numPr>
        <w:jc w:val="both"/>
        <w:rPr>
          <w:rFonts w:cs="Arial"/>
          <w:szCs w:val="24"/>
          <w:lang w:val="es-ES"/>
        </w:rPr>
      </w:pPr>
      <w:r w:rsidRPr="00BA7CC2">
        <w:rPr>
          <w:rFonts w:cs="Arial"/>
          <w:szCs w:val="24"/>
          <w:lang w:val="es-ES"/>
        </w:rPr>
        <w:t>Equipos Biomédicos (En los casos que aplique)</w:t>
      </w:r>
    </w:p>
    <w:p w14:paraId="1A05BA56" w14:textId="77777777" w:rsidR="00357B12" w:rsidRPr="00BA7CC2" w:rsidRDefault="00357B12" w:rsidP="00BA7CC2">
      <w:pPr>
        <w:ind w:left="360"/>
        <w:jc w:val="both"/>
        <w:rPr>
          <w:rFonts w:ascii="Arial" w:hAnsi="Arial" w:cs="Arial"/>
          <w:b/>
          <w:bCs/>
          <w:sz w:val="24"/>
          <w:szCs w:val="24"/>
          <w:lang w:val="es-ES"/>
        </w:rPr>
      </w:pPr>
    </w:p>
    <w:p w14:paraId="2F6082D1" w14:textId="24876325" w:rsidR="00357B12" w:rsidRPr="00BA7CC2" w:rsidRDefault="00357B12" w:rsidP="00BA7CC2">
      <w:pPr>
        <w:jc w:val="both"/>
        <w:rPr>
          <w:rFonts w:ascii="Arial" w:hAnsi="Arial" w:cs="Arial"/>
          <w:sz w:val="24"/>
          <w:szCs w:val="24"/>
          <w:lang w:val="es-ES"/>
        </w:rPr>
      </w:pPr>
      <w:r w:rsidRPr="00BA7CC2">
        <w:rPr>
          <w:rFonts w:ascii="Arial" w:hAnsi="Arial" w:cs="Arial"/>
          <w:sz w:val="24"/>
          <w:szCs w:val="24"/>
          <w:lang w:val="es-ES"/>
        </w:rPr>
        <w:t xml:space="preserve">No aplica </w:t>
      </w:r>
    </w:p>
    <w:p w14:paraId="27E0AD98" w14:textId="77777777" w:rsidR="00357B12" w:rsidRPr="00BA7CC2" w:rsidRDefault="00357B12" w:rsidP="00BA7CC2">
      <w:pPr>
        <w:jc w:val="both"/>
        <w:rPr>
          <w:rFonts w:ascii="Arial" w:hAnsi="Arial" w:cs="Arial"/>
          <w:sz w:val="24"/>
          <w:szCs w:val="24"/>
          <w:lang w:val="es-ES"/>
        </w:rPr>
      </w:pPr>
    </w:p>
    <w:p w14:paraId="5874A347" w14:textId="77777777" w:rsidR="00996BB9" w:rsidRPr="00BA7CC2" w:rsidRDefault="00996BB9" w:rsidP="00BA7CC2">
      <w:pPr>
        <w:pStyle w:val="Ttulo2"/>
        <w:numPr>
          <w:ilvl w:val="1"/>
          <w:numId w:val="28"/>
        </w:numPr>
        <w:jc w:val="both"/>
        <w:rPr>
          <w:rFonts w:cs="Arial"/>
          <w:szCs w:val="24"/>
          <w:lang w:val="es-ES"/>
        </w:rPr>
      </w:pPr>
      <w:r w:rsidRPr="00BA7CC2">
        <w:rPr>
          <w:rFonts w:cs="Arial"/>
          <w:szCs w:val="24"/>
          <w:lang w:val="es-ES"/>
        </w:rPr>
        <w:t>Medicamentos y dispositivos médicos (En los casos que aplique)</w:t>
      </w:r>
    </w:p>
    <w:p w14:paraId="0DA8B948" w14:textId="77777777" w:rsidR="00996BB9" w:rsidRPr="00BA7CC2" w:rsidRDefault="00996BB9" w:rsidP="00BA7CC2">
      <w:pPr>
        <w:jc w:val="both"/>
        <w:rPr>
          <w:rFonts w:ascii="Arial" w:hAnsi="Arial" w:cs="Arial"/>
          <w:b/>
          <w:bCs/>
          <w:sz w:val="24"/>
          <w:szCs w:val="24"/>
          <w:lang w:val="es-ES"/>
        </w:rPr>
      </w:pPr>
    </w:p>
    <w:p w14:paraId="7950DDED" w14:textId="29869E9F" w:rsidR="00996BB9" w:rsidRPr="00BA7CC2" w:rsidRDefault="00996BB9" w:rsidP="00BA7CC2">
      <w:pPr>
        <w:jc w:val="both"/>
        <w:rPr>
          <w:rFonts w:ascii="Arial" w:hAnsi="Arial" w:cs="Arial"/>
          <w:sz w:val="24"/>
          <w:szCs w:val="24"/>
          <w:lang w:val="es-ES"/>
        </w:rPr>
      </w:pPr>
      <w:r w:rsidRPr="00BA7CC2">
        <w:rPr>
          <w:rFonts w:ascii="Arial" w:hAnsi="Arial" w:cs="Arial"/>
          <w:sz w:val="24"/>
          <w:szCs w:val="24"/>
          <w:lang w:val="es-ES"/>
        </w:rPr>
        <w:t xml:space="preserve">No aplica </w:t>
      </w:r>
    </w:p>
    <w:p w14:paraId="02703D55" w14:textId="1CABE1D6" w:rsidR="00996BB9" w:rsidRPr="00BA7CC2" w:rsidRDefault="00996BB9" w:rsidP="00BA7CC2">
      <w:pPr>
        <w:pStyle w:val="Ttulo2"/>
        <w:numPr>
          <w:ilvl w:val="1"/>
          <w:numId w:val="28"/>
        </w:numPr>
        <w:jc w:val="both"/>
        <w:rPr>
          <w:rFonts w:cs="Arial"/>
          <w:szCs w:val="24"/>
          <w:lang w:val="es-ES"/>
        </w:rPr>
      </w:pPr>
      <w:r w:rsidRPr="00BA7CC2">
        <w:rPr>
          <w:rFonts w:cs="Arial"/>
          <w:szCs w:val="24"/>
          <w:lang w:val="es-ES"/>
        </w:rPr>
        <w:t>Otros insumos requeridos (En los casos que aplique)</w:t>
      </w:r>
    </w:p>
    <w:p w14:paraId="36A52563" w14:textId="77777777" w:rsidR="00357B12" w:rsidRPr="00BA7CC2" w:rsidRDefault="00357B12" w:rsidP="00BA7CC2">
      <w:pPr>
        <w:jc w:val="both"/>
        <w:rPr>
          <w:rFonts w:ascii="Arial" w:hAnsi="Arial" w:cs="Arial"/>
          <w:sz w:val="24"/>
          <w:szCs w:val="24"/>
          <w:lang w:val="es-ES"/>
        </w:rPr>
      </w:pPr>
    </w:p>
    <w:tbl>
      <w:tblPr>
        <w:tblStyle w:val="Tablaconcuadrcula"/>
        <w:tblW w:w="9067" w:type="dxa"/>
        <w:tblLook w:val="04A0" w:firstRow="1" w:lastRow="0" w:firstColumn="1" w:lastColumn="0" w:noHBand="0" w:noVBand="1"/>
      </w:tblPr>
      <w:tblGrid>
        <w:gridCol w:w="6894"/>
        <w:gridCol w:w="2173"/>
      </w:tblGrid>
      <w:tr w:rsidR="00996BB9" w:rsidRPr="00BA7CC2" w14:paraId="564927D7" w14:textId="77777777" w:rsidTr="00357B12">
        <w:tc>
          <w:tcPr>
            <w:tcW w:w="0" w:type="auto"/>
            <w:shd w:val="clear" w:color="auto" w:fill="0070C0"/>
            <w:hideMark/>
          </w:tcPr>
          <w:bookmarkEnd w:id="0"/>
          <w:p w14:paraId="38803409" w14:textId="77777777" w:rsidR="00996BB9" w:rsidRPr="00BA7CC2" w:rsidRDefault="00996BB9" w:rsidP="009C3F65">
            <w:pPr>
              <w:spacing w:after="160" w:line="259" w:lineRule="auto"/>
              <w:jc w:val="center"/>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Descripción</w:t>
            </w:r>
          </w:p>
        </w:tc>
        <w:tc>
          <w:tcPr>
            <w:tcW w:w="2173" w:type="dxa"/>
            <w:shd w:val="clear" w:color="auto" w:fill="0070C0"/>
            <w:hideMark/>
          </w:tcPr>
          <w:p w14:paraId="2958FF5C" w14:textId="77777777" w:rsidR="00996BB9" w:rsidRPr="00BA7CC2" w:rsidRDefault="00996BB9" w:rsidP="009C3F65">
            <w:pPr>
              <w:spacing w:after="160" w:line="259" w:lineRule="auto"/>
              <w:jc w:val="center"/>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Cantidad</w:t>
            </w:r>
          </w:p>
        </w:tc>
      </w:tr>
      <w:tr w:rsidR="00996BB9" w:rsidRPr="00BA7CC2" w14:paraId="16B1C097" w14:textId="77777777" w:rsidTr="00357B12">
        <w:tc>
          <w:tcPr>
            <w:tcW w:w="0" w:type="auto"/>
            <w:hideMark/>
          </w:tcPr>
          <w:p w14:paraId="4F8A3E84"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Instrumentos de tamizaje en salud mental</w:t>
            </w:r>
          </w:p>
        </w:tc>
        <w:tc>
          <w:tcPr>
            <w:tcW w:w="2173" w:type="dxa"/>
            <w:hideMark/>
          </w:tcPr>
          <w:p w14:paraId="058D3EE0"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r w:rsidR="00996BB9" w:rsidRPr="00BA7CC2" w14:paraId="53F79614" w14:textId="77777777" w:rsidTr="00357B12">
        <w:tc>
          <w:tcPr>
            <w:tcW w:w="0" w:type="auto"/>
            <w:hideMark/>
          </w:tcPr>
          <w:p w14:paraId="3C361096"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lastRenderedPageBreak/>
              <w:t>Formatos institucionales de valoración</w:t>
            </w:r>
          </w:p>
        </w:tc>
        <w:tc>
          <w:tcPr>
            <w:tcW w:w="2173" w:type="dxa"/>
            <w:hideMark/>
          </w:tcPr>
          <w:p w14:paraId="01271905"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r w:rsidR="00996BB9" w:rsidRPr="00BA7CC2" w14:paraId="16DFEE97" w14:textId="77777777" w:rsidTr="00357B12">
        <w:tc>
          <w:tcPr>
            <w:tcW w:w="0" w:type="auto"/>
            <w:hideMark/>
          </w:tcPr>
          <w:p w14:paraId="5C455F1F"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Formatos de seguimiento clínico</w:t>
            </w:r>
          </w:p>
        </w:tc>
        <w:tc>
          <w:tcPr>
            <w:tcW w:w="2173" w:type="dxa"/>
            <w:hideMark/>
          </w:tcPr>
          <w:p w14:paraId="6C5F161B"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r w:rsidR="00996BB9" w:rsidRPr="00BA7CC2" w14:paraId="6C048556" w14:textId="77777777" w:rsidTr="00357B12">
        <w:tc>
          <w:tcPr>
            <w:tcW w:w="0" w:type="auto"/>
            <w:hideMark/>
          </w:tcPr>
          <w:p w14:paraId="27D0D62C"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Registros de atención en salud mental</w:t>
            </w:r>
          </w:p>
        </w:tc>
        <w:tc>
          <w:tcPr>
            <w:tcW w:w="2173" w:type="dxa"/>
            <w:hideMark/>
          </w:tcPr>
          <w:p w14:paraId="11B51C1F"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r w:rsidR="00996BB9" w:rsidRPr="00BA7CC2" w14:paraId="5826BCA7" w14:textId="77777777" w:rsidTr="00357B12">
        <w:tc>
          <w:tcPr>
            <w:tcW w:w="0" w:type="auto"/>
            <w:hideMark/>
          </w:tcPr>
          <w:p w14:paraId="047C174D"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Formatos para activación de rutas de atención</w:t>
            </w:r>
          </w:p>
        </w:tc>
        <w:tc>
          <w:tcPr>
            <w:tcW w:w="2173" w:type="dxa"/>
            <w:hideMark/>
          </w:tcPr>
          <w:p w14:paraId="27969D8C"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r w:rsidR="00996BB9" w:rsidRPr="00BA7CC2" w14:paraId="5C363EAD" w14:textId="77777777" w:rsidTr="00357B12">
        <w:tc>
          <w:tcPr>
            <w:tcW w:w="0" w:type="auto"/>
            <w:hideMark/>
          </w:tcPr>
          <w:p w14:paraId="612046BB"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Registros de referencia y contrarreferencia</w:t>
            </w:r>
          </w:p>
        </w:tc>
        <w:tc>
          <w:tcPr>
            <w:tcW w:w="2173" w:type="dxa"/>
            <w:hideMark/>
          </w:tcPr>
          <w:p w14:paraId="2E465BA3"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r w:rsidR="00996BB9" w:rsidRPr="00BA7CC2" w14:paraId="27001A9D" w14:textId="77777777" w:rsidTr="00357B12">
        <w:tc>
          <w:tcPr>
            <w:tcW w:w="0" w:type="auto"/>
            <w:hideMark/>
          </w:tcPr>
          <w:p w14:paraId="280F511C"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Registros y formatos de Vigilancia Epidemiológica – SIVIGILA</w:t>
            </w:r>
          </w:p>
        </w:tc>
        <w:tc>
          <w:tcPr>
            <w:tcW w:w="2173" w:type="dxa"/>
            <w:hideMark/>
          </w:tcPr>
          <w:p w14:paraId="6EA765FA"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r w:rsidR="00996BB9" w:rsidRPr="00BA7CC2" w14:paraId="2F089F6C" w14:textId="77777777" w:rsidTr="00357B12">
        <w:tc>
          <w:tcPr>
            <w:tcW w:w="0" w:type="auto"/>
            <w:hideMark/>
          </w:tcPr>
          <w:p w14:paraId="4A09B700"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Material educativo y de psicoeducación</w:t>
            </w:r>
          </w:p>
        </w:tc>
        <w:tc>
          <w:tcPr>
            <w:tcW w:w="2173" w:type="dxa"/>
            <w:hideMark/>
          </w:tcPr>
          <w:p w14:paraId="71BE5D27"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r w:rsidR="00996BB9" w:rsidRPr="00BA7CC2" w14:paraId="0D3DDF14" w14:textId="77777777" w:rsidTr="00357B12">
        <w:tc>
          <w:tcPr>
            <w:tcW w:w="0" w:type="auto"/>
            <w:hideMark/>
          </w:tcPr>
          <w:p w14:paraId="78D8CE9E"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Directorios y datos de contacto de redes institucionales e intersectoriales</w:t>
            </w:r>
          </w:p>
        </w:tc>
        <w:tc>
          <w:tcPr>
            <w:tcW w:w="2173" w:type="dxa"/>
            <w:hideMark/>
          </w:tcPr>
          <w:p w14:paraId="307B822E" w14:textId="77777777" w:rsidR="00996BB9" w:rsidRPr="00BA7CC2" w:rsidRDefault="00996BB9"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Según necesidad</w:t>
            </w:r>
          </w:p>
        </w:tc>
      </w:tr>
    </w:tbl>
    <w:p w14:paraId="77A06E91" w14:textId="77777777" w:rsidR="00996BB9" w:rsidRPr="00BA7CC2" w:rsidRDefault="00996BB9" w:rsidP="00BA7CC2">
      <w:pPr>
        <w:pStyle w:val="Ttulo1"/>
        <w:jc w:val="both"/>
        <w:rPr>
          <w:rFonts w:cs="Arial"/>
          <w:szCs w:val="24"/>
        </w:rPr>
      </w:pPr>
    </w:p>
    <w:p w14:paraId="29AC2F9B" w14:textId="3CCD52D6" w:rsidR="00BA7CC2" w:rsidRPr="00BA7CC2" w:rsidRDefault="00BA7CC2" w:rsidP="00BA7CC2">
      <w:pPr>
        <w:pStyle w:val="Ttulo1"/>
        <w:numPr>
          <w:ilvl w:val="0"/>
          <w:numId w:val="28"/>
        </w:numPr>
        <w:jc w:val="both"/>
        <w:rPr>
          <w:rFonts w:cs="Arial"/>
          <w:szCs w:val="24"/>
          <w:lang w:val="es-ES"/>
        </w:rPr>
      </w:pPr>
      <w:r w:rsidRPr="00BA7CC2">
        <w:rPr>
          <w:rFonts w:cs="Arial"/>
          <w:szCs w:val="24"/>
          <w:lang w:val="es-ES"/>
        </w:rPr>
        <w:t>DESCRIPCIÓN DEL PASO A PASO</w:t>
      </w:r>
    </w:p>
    <w:tbl>
      <w:tblPr>
        <w:tblStyle w:val="Tablaconcuadrcula"/>
        <w:tblW w:w="0" w:type="auto"/>
        <w:tblLook w:val="04A0" w:firstRow="1" w:lastRow="0" w:firstColumn="1" w:lastColumn="0" w:noHBand="0" w:noVBand="1"/>
      </w:tblPr>
      <w:tblGrid>
        <w:gridCol w:w="2402"/>
        <w:gridCol w:w="3792"/>
        <w:gridCol w:w="2634"/>
      </w:tblGrid>
      <w:tr w:rsidR="00BA7CC2" w:rsidRPr="00BA7CC2" w14:paraId="33CC7352" w14:textId="77777777" w:rsidTr="00BA7CC2">
        <w:tc>
          <w:tcPr>
            <w:tcW w:w="0" w:type="auto"/>
            <w:shd w:val="clear" w:color="auto" w:fill="0070C0"/>
            <w:hideMark/>
          </w:tcPr>
          <w:p w14:paraId="29C5F704" w14:textId="77777777" w:rsidR="00BA7CC2" w:rsidRPr="00BA7CC2" w:rsidRDefault="00BA7CC2" w:rsidP="009C3F65">
            <w:pPr>
              <w:spacing w:after="160" w:line="259" w:lineRule="auto"/>
              <w:jc w:val="center"/>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Actividad</w:t>
            </w:r>
          </w:p>
        </w:tc>
        <w:tc>
          <w:tcPr>
            <w:tcW w:w="0" w:type="auto"/>
            <w:shd w:val="clear" w:color="auto" w:fill="0070C0"/>
            <w:hideMark/>
          </w:tcPr>
          <w:p w14:paraId="2AA229CC" w14:textId="77777777" w:rsidR="00BA7CC2" w:rsidRPr="00BA7CC2" w:rsidRDefault="00BA7CC2" w:rsidP="009C3F65">
            <w:pPr>
              <w:spacing w:after="160" w:line="259" w:lineRule="auto"/>
              <w:jc w:val="center"/>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Actividades Esenciales</w:t>
            </w:r>
          </w:p>
        </w:tc>
        <w:tc>
          <w:tcPr>
            <w:tcW w:w="0" w:type="auto"/>
            <w:shd w:val="clear" w:color="auto" w:fill="0070C0"/>
            <w:hideMark/>
          </w:tcPr>
          <w:p w14:paraId="2A2A4CAE" w14:textId="77777777" w:rsidR="00BA7CC2" w:rsidRPr="00BA7CC2" w:rsidRDefault="00BA7CC2" w:rsidP="009C3F65">
            <w:pPr>
              <w:spacing w:after="160" w:line="259" w:lineRule="auto"/>
              <w:jc w:val="center"/>
              <w:rPr>
                <w:rFonts w:ascii="Arial" w:hAnsi="Arial" w:cs="Arial"/>
                <w:b/>
                <w:bCs/>
                <w:color w:val="FFFFFF" w:themeColor="background1"/>
                <w:sz w:val="24"/>
                <w:szCs w:val="24"/>
                <w:lang w:val="es-419"/>
              </w:rPr>
            </w:pPr>
            <w:r w:rsidRPr="00BA7CC2">
              <w:rPr>
                <w:rFonts w:ascii="Arial" w:hAnsi="Arial" w:cs="Arial"/>
                <w:b/>
                <w:bCs/>
                <w:color w:val="FFFFFF" w:themeColor="background1"/>
                <w:sz w:val="24"/>
                <w:szCs w:val="24"/>
                <w:lang w:val="es-419"/>
              </w:rPr>
              <w:t>Responsable</w:t>
            </w:r>
          </w:p>
        </w:tc>
      </w:tr>
      <w:tr w:rsidR="00BA7CC2" w:rsidRPr="00BA7CC2" w14:paraId="1360744E" w14:textId="77777777" w:rsidTr="009C3F65">
        <w:tc>
          <w:tcPr>
            <w:tcW w:w="0" w:type="auto"/>
            <w:vAlign w:val="center"/>
            <w:hideMark/>
          </w:tcPr>
          <w:p w14:paraId="4570EEE6"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Ingreso del usuario</w:t>
            </w:r>
          </w:p>
        </w:tc>
        <w:tc>
          <w:tcPr>
            <w:tcW w:w="0" w:type="auto"/>
            <w:hideMark/>
          </w:tcPr>
          <w:p w14:paraId="1889CCCB"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Recepcionar y orientar al usuario que ingresa por los diferentes puntos de atención, programas institucionales, urgencias, actividades extramurales o estrategias comunitarias.</w:t>
            </w:r>
          </w:p>
        </w:tc>
        <w:tc>
          <w:tcPr>
            <w:tcW w:w="0" w:type="auto"/>
            <w:hideMark/>
          </w:tcPr>
          <w:p w14:paraId="7982360C"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Personal de Admisiones / Personal asistencial</w:t>
            </w:r>
          </w:p>
        </w:tc>
      </w:tr>
      <w:tr w:rsidR="00BA7CC2" w:rsidRPr="00BA7CC2" w14:paraId="37E4EC6F" w14:textId="77777777" w:rsidTr="009C3F65">
        <w:tc>
          <w:tcPr>
            <w:tcW w:w="0" w:type="auto"/>
            <w:vAlign w:val="center"/>
            <w:hideMark/>
          </w:tcPr>
          <w:p w14:paraId="765A973E"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Identificación de necesidades o factores de riesgo</w:t>
            </w:r>
          </w:p>
        </w:tc>
        <w:tc>
          <w:tcPr>
            <w:tcW w:w="0" w:type="auto"/>
            <w:hideMark/>
          </w:tcPr>
          <w:p w14:paraId="0C692D99"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Identificar manifestaciones, necesidades, factores protectores o factores de riesgo relacionados con la salud mental.</w:t>
            </w:r>
          </w:p>
        </w:tc>
        <w:tc>
          <w:tcPr>
            <w:tcW w:w="0" w:type="auto"/>
            <w:hideMark/>
          </w:tcPr>
          <w:p w14:paraId="3A06F4AA"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Todo el personal que interviene en la atención</w:t>
            </w:r>
          </w:p>
        </w:tc>
      </w:tr>
      <w:tr w:rsidR="00BA7CC2" w:rsidRPr="00BA7CC2" w14:paraId="1DE3A7A1" w14:textId="77777777" w:rsidTr="009C3F65">
        <w:tc>
          <w:tcPr>
            <w:tcW w:w="0" w:type="auto"/>
            <w:vAlign w:val="center"/>
            <w:hideMark/>
          </w:tcPr>
          <w:p w14:paraId="644F2D86"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Captación y tamizaje</w:t>
            </w:r>
          </w:p>
        </w:tc>
        <w:tc>
          <w:tcPr>
            <w:tcW w:w="0" w:type="auto"/>
            <w:hideMark/>
          </w:tcPr>
          <w:p w14:paraId="4C92474B"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Realizar la captación del usuario y aplicar el instrumento de tamizaje correspondiente de acuerdo con la edad, condición clínica y motivo de consulta.</w:t>
            </w:r>
          </w:p>
        </w:tc>
        <w:tc>
          <w:tcPr>
            <w:tcW w:w="0" w:type="auto"/>
            <w:hideMark/>
          </w:tcPr>
          <w:p w14:paraId="22C5EB61"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Enfermería / Psicología / Medicina</w:t>
            </w:r>
          </w:p>
        </w:tc>
      </w:tr>
      <w:tr w:rsidR="00BA7CC2" w:rsidRPr="00BA7CC2" w14:paraId="3312D3C6" w14:textId="77777777" w:rsidTr="009C3F65">
        <w:tc>
          <w:tcPr>
            <w:tcW w:w="0" w:type="auto"/>
            <w:vAlign w:val="center"/>
            <w:hideMark/>
          </w:tcPr>
          <w:p w14:paraId="41A29897"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Determinación del riesgo</w:t>
            </w:r>
          </w:p>
        </w:tc>
        <w:tc>
          <w:tcPr>
            <w:tcW w:w="0" w:type="auto"/>
            <w:hideMark/>
          </w:tcPr>
          <w:p w14:paraId="15C4AF2D"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 xml:space="preserve">Analizar los resultados del tamizaje y la información obtenida durante la atención para </w:t>
            </w:r>
            <w:r w:rsidRPr="00BA7CC2">
              <w:rPr>
                <w:rFonts w:ascii="Arial" w:hAnsi="Arial" w:cs="Arial"/>
                <w:sz w:val="24"/>
                <w:szCs w:val="24"/>
                <w:lang w:val="es-419"/>
              </w:rPr>
              <w:lastRenderedPageBreak/>
              <w:t>establecer si existe riesgo en salud mental.</w:t>
            </w:r>
          </w:p>
        </w:tc>
        <w:tc>
          <w:tcPr>
            <w:tcW w:w="0" w:type="auto"/>
            <w:hideMark/>
          </w:tcPr>
          <w:p w14:paraId="35810E6A"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lastRenderedPageBreak/>
              <w:t>Médico general / Psicología / Enfermería</w:t>
            </w:r>
          </w:p>
        </w:tc>
      </w:tr>
      <w:tr w:rsidR="00BA7CC2" w:rsidRPr="00BA7CC2" w14:paraId="32E3D45F" w14:textId="77777777" w:rsidTr="009C3F65">
        <w:tc>
          <w:tcPr>
            <w:tcW w:w="0" w:type="auto"/>
            <w:vAlign w:val="center"/>
            <w:hideMark/>
          </w:tcPr>
          <w:p w14:paraId="74530F8B"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Educación y promoción</w:t>
            </w:r>
          </w:p>
        </w:tc>
        <w:tc>
          <w:tcPr>
            <w:tcW w:w="0" w:type="auto"/>
            <w:hideMark/>
          </w:tcPr>
          <w:p w14:paraId="318845AD"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Cuando no se identifica riesgo, brindar educación, orientación y acciones de promoción de la salud mental, fortaleciendo factores protectores y redes de apoyo.</w:t>
            </w:r>
          </w:p>
        </w:tc>
        <w:tc>
          <w:tcPr>
            <w:tcW w:w="0" w:type="auto"/>
            <w:hideMark/>
          </w:tcPr>
          <w:p w14:paraId="53E5D331"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Psicología / Enfermería / Promoción y Mantenimiento de la Salud</w:t>
            </w:r>
          </w:p>
        </w:tc>
      </w:tr>
      <w:tr w:rsidR="00BA7CC2" w:rsidRPr="00BA7CC2" w14:paraId="2532348F" w14:textId="77777777" w:rsidTr="009C3F65">
        <w:tc>
          <w:tcPr>
            <w:tcW w:w="0" w:type="auto"/>
            <w:vAlign w:val="center"/>
            <w:hideMark/>
          </w:tcPr>
          <w:p w14:paraId="6957049F"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Valoración integral</w:t>
            </w:r>
          </w:p>
        </w:tc>
        <w:tc>
          <w:tcPr>
            <w:tcW w:w="0" w:type="auto"/>
            <w:hideMark/>
          </w:tcPr>
          <w:p w14:paraId="4A5925DF"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Realizar valoración integral de las condiciones clínicas, psicológicas, familiares y sociales del usuario.</w:t>
            </w:r>
          </w:p>
        </w:tc>
        <w:tc>
          <w:tcPr>
            <w:tcW w:w="0" w:type="auto"/>
            <w:hideMark/>
          </w:tcPr>
          <w:p w14:paraId="590EBB3F"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 general / Psicología / Enfermería / Equipo interdisciplinario</w:t>
            </w:r>
          </w:p>
        </w:tc>
      </w:tr>
      <w:tr w:rsidR="00BA7CC2" w:rsidRPr="00BA7CC2" w14:paraId="6E753916" w14:textId="77777777" w:rsidTr="009C3F65">
        <w:tc>
          <w:tcPr>
            <w:tcW w:w="0" w:type="auto"/>
            <w:vAlign w:val="center"/>
            <w:hideMark/>
          </w:tcPr>
          <w:p w14:paraId="12170F2B"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Clasificación del riesgo</w:t>
            </w:r>
          </w:p>
        </w:tc>
        <w:tc>
          <w:tcPr>
            <w:tcW w:w="0" w:type="auto"/>
            <w:hideMark/>
          </w:tcPr>
          <w:p w14:paraId="19ADA776"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Determinar el nivel de riesgo del usuario y establecer las acciones requeridas para su atención.</w:t>
            </w:r>
          </w:p>
        </w:tc>
        <w:tc>
          <w:tcPr>
            <w:tcW w:w="0" w:type="auto"/>
            <w:hideMark/>
          </w:tcPr>
          <w:p w14:paraId="35FE0E3E"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 general / Psicología / Equipo interdisciplinario</w:t>
            </w:r>
          </w:p>
        </w:tc>
      </w:tr>
      <w:tr w:rsidR="00BA7CC2" w:rsidRPr="00BA7CC2" w14:paraId="283C7C3E" w14:textId="77777777" w:rsidTr="009C3F65">
        <w:tc>
          <w:tcPr>
            <w:tcW w:w="0" w:type="auto"/>
            <w:vAlign w:val="center"/>
            <w:hideMark/>
          </w:tcPr>
          <w:p w14:paraId="221BF5A8"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Formulación del plan integral</w:t>
            </w:r>
          </w:p>
        </w:tc>
        <w:tc>
          <w:tcPr>
            <w:tcW w:w="0" w:type="auto"/>
            <w:hideMark/>
          </w:tcPr>
          <w:p w14:paraId="25AC00D4"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Definir las intervenciones, acciones de seguimiento, educación, tratamiento y demás medidas requeridas.</w:t>
            </w:r>
          </w:p>
        </w:tc>
        <w:tc>
          <w:tcPr>
            <w:tcW w:w="0" w:type="auto"/>
            <w:hideMark/>
          </w:tcPr>
          <w:p w14:paraId="52A893D7"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 general / Psicología / Equipo interdisciplinario</w:t>
            </w:r>
          </w:p>
        </w:tc>
      </w:tr>
      <w:tr w:rsidR="00BA7CC2" w:rsidRPr="00BA7CC2" w14:paraId="39416E81" w14:textId="77777777" w:rsidTr="009C3F65">
        <w:tc>
          <w:tcPr>
            <w:tcW w:w="0" w:type="auto"/>
            <w:vAlign w:val="center"/>
            <w:hideMark/>
          </w:tcPr>
          <w:p w14:paraId="337727E6"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Intervención interdisciplinaria</w:t>
            </w:r>
          </w:p>
        </w:tc>
        <w:tc>
          <w:tcPr>
            <w:tcW w:w="0" w:type="auto"/>
            <w:hideMark/>
          </w:tcPr>
          <w:p w14:paraId="7D426011"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Ejecutar las intervenciones clínicas, psicológicas, educativas y psicosociales requeridas.</w:t>
            </w:r>
          </w:p>
        </w:tc>
        <w:tc>
          <w:tcPr>
            <w:tcW w:w="0" w:type="auto"/>
            <w:hideMark/>
          </w:tcPr>
          <w:p w14:paraId="766C713F"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Equipo interdisciplinario</w:t>
            </w:r>
          </w:p>
        </w:tc>
      </w:tr>
      <w:tr w:rsidR="00BA7CC2" w:rsidRPr="00BA7CC2" w14:paraId="4F84D3ED" w14:textId="77777777" w:rsidTr="009C3F65">
        <w:tc>
          <w:tcPr>
            <w:tcW w:w="0" w:type="auto"/>
            <w:vAlign w:val="center"/>
            <w:hideMark/>
          </w:tcPr>
          <w:p w14:paraId="1E392501"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Evaluación de necesidad de ruta especial</w:t>
            </w:r>
          </w:p>
        </w:tc>
        <w:tc>
          <w:tcPr>
            <w:tcW w:w="0" w:type="auto"/>
            <w:hideMark/>
          </w:tcPr>
          <w:p w14:paraId="114D5E8C"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Determinar si la condición del usuario requiere la activación de una ruta institucional o externa específica.</w:t>
            </w:r>
          </w:p>
        </w:tc>
        <w:tc>
          <w:tcPr>
            <w:tcW w:w="0" w:type="auto"/>
            <w:hideMark/>
          </w:tcPr>
          <w:p w14:paraId="6030E9C3"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 general / Psicología / Equipo interdisciplinario</w:t>
            </w:r>
          </w:p>
        </w:tc>
      </w:tr>
      <w:tr w:rsidR="00BA7CC2" w:rsidRPr="00BA7CC2" w14:paraId="51326FDD" w14:textId="77777777" w:rsidTr="009C3F65">
        <w:tc>
          <w:tcPr>
            <w:tcW w:w="0" w:type="auto"/>
            <w:vAlign w:val="center"/>
            <w:hideMark/>
          </w:tcPr>
          <w:p w14:paraId="35C30F21"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Activación de ruta</w:t>
            </w:r>
          </w:p>
        </w:tc>
        <w:tc>
          <w:tcPr>
            <w:tcW w:w="0" w:type="auto"/>
            <w:hideMark/>
          </w:tcPr>
          <w:p w14:paraId="17282B46"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Activar oportunamente la ruta específica cuando corresponda y realizar las acciones necesarias para garantizar la atención integral.</w:t>
            </w:r>
          </w:p>
        </w:tc>
        <w:tc>
          <w:tcPr>
            <w:tcW w:w="0" w:type="auto"/>
            <w:hideMark/>
          </w:tcPr>
          <w:p w14:paraId="7B10DE70"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 general / Psicología / Equipo interdisciplinario</w:t>
            </w:r>
          </w:p>
        </w:tc>
      </w:tr>
      <w:tr w:rsidR="00BA7CC2" w:rsidRPr="00BA7CC2" w14:paraId="39C982A3" w14:textId="77777777" w:rsidTr="009C3F65">
        <w:tc>
          <w:tcPr>
            <w:tcW w:w="0" w:type="auto"/>
            <w:vAlign w:val="center"/>
            <w:hideMark/>
          </w:tcPr>
          <w:p w14:paraId="16FA50D2"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Seguimiento clínico</w:t>
            </w:r>
          </w:p>
        </w:tc>
        <w:tc>
          <w:tcPr>
            <w:tcW w:w="0" w:type="auto"/>
            <w:hideMark/>
          </w:tcPr>
          <w:p w14:paraId="1BFB5278"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Realizar seguimiento a la evolución del usuario, adherencia al tratamiento y cumplimiento del plan de atención.</w:t>
            </w:r>
          </w:p>
        </w:tc>
        <w:tc>
          <w:tcPr>
            <w:tcW w:w="0" w:type="auto"/>
            <w:hideMark/>
          </w:tcPr>
          <w:p w14:paraId="139798B1"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Médico general / Psicología / Enfermería</w:t>
            </w:r>
          </w:p>
        </w:tc>
      </w:tr>
      <w:tr w:rsidR="00BA7CC2" w:rsidRPr="00BA7CC2" w14:paraId="724EA430" w14:textId="77777777" w:rsidTr="009C3F65">
        <w:tc>
          <w:tcPr>
            <w:tcW w:w="0" w:type="auto"/>
            <w:vAlign w:val="center"/>
            <w:hideMark/>
          </w:tcPr>
          <w:p w14:paraId="02A573DF"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lastRenderedPageBreak/>
              <w:t>Referencia y contrarreferencia</w:t>
            </w:r>
          </w:p>
        </w:tc>
        <w:tc>
          <w:tcPr>
            <w:tcW w:w="0" w:type="auto"/>
            <w:hideMark/>
          </w:tcPr>
          <w:p w14:paraId="205ADE85"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Gestionar la remisión cuando se requiera y realizar seguimiento a la continuidad de la atención.</w:t>
            </w:r>
          </w:p>
        </w:tc>
        <w:tc>
          <w:tcPr>
            <w:tcW w:w="0" w:type="auto"/>
            <w:hideMark/>
          </w:tcPr>
          <w:p w14:paraId="59176A1C"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Referencia y Contrarreferencia / Médico tratante</w:t>
            </w:r>
          </w:p>
        </w:tc>
      </w:tr>
      <w:tr w:rsidR="00BA7CC2" w:rsidRPr="00BA7CC2" w14:paraId="1DFF4D27" w14:textId="77777777" w:rsidTr="009C3F65">
        <w:tc>
          <w:tcPr>
            <w:tcW w:w="0" w:type="auto"/>
            <w:vAlign w:val="center"/>
            <w:hideMark/>
          </w:tcPr>
          <w:p w14:paraId="4DFDB47B"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Cierre o continuidad del caso</w:t>
            </w:r>
          </w:p>
        </w:tc>
        <w:tc>
          <w:tcPr>
            <w:tcW w:w="0" w:type="auto"/>
            <w:hideMark/>
          </w:tcPr>
          <w:p w14:paraId="1901B405"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Determinar el cierre clínico o mantener la continuidad del seguimiento institucional según las necesidades del usuario.</w:t>
            </w:r>
          </w:p>
        </w:tc>
        <w:tc>
          <w:tcPr>
            <w:tcW w:w="0" w:type="auto"/>
            <w:hideMark/>
          </w:tcPr>
          <w:p w14:paraId="7163D56B"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Equipo interdisciplinario / Profesional tratante</w:t>
            </w:r>
          </w:p>
        </w:tc>
      </w:tr>
      <w:tr w:rsidR="00BA7CC2" w:rsidRPr="00BA7CC2" w14:paraId="7A2F20FA" w14:textId="77777777" w:rsidTr="009C3F65">
        <w:tc>
          <w:tcPr>
            <w:tcW w:w="0" w:type="auto"/>
            <w:vAlign w:val="center"/>
            <w:hideMark/>
          </w:tcPr>
          <w:p w14:paraId="663F9E91" w14:textId="77777777" w:rsidR="00BA7CC2" w:rsidRPr="00BA7CC2" w:rsidRDefault="00BA7CC2" w:rsidP="009C3F65">
            <w:pPr>
              <w:spacing w:after="160" w:line="259" w:lineRule="auto"/>
              <w:jc w:val="center"/>
              <w:rPr>
                <w:rFonts w:ascii="Arial" w:hAnsi="Arial" w:cs="Arial"/>
                <w:sz w:val="24"/>
                <w:szCs w:val="24"/>
                <w:lang w:val="es-419"/>
              </w:rPr>
            </w:pPr>
            <w:r w:rsidRPr="00BA7CC2">
              <w:rPr>
                <w:rFonts w:ascii="Arial" w:hAnsi="Arial" w:cs="Arial"/>
                <w:sz w:val="24"/>
                <w:szCs w:val="24"/>
                <w:lang w:val="es-419"/>
              </w:rPr>
              <w:t>Finalización del proceso</w:t>
            </w:r>
          </w:p>
        </w:tc>
        <w:tc>
          <w:tcPr>
            <w:tcW w:w="0" w:type="auto"/>
            <w:hideMark/>
          </w:tcPr>
          <w:p w14:paraId="31B312DE"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Documentar las actuaciones realizadas y garantizar la continuidad del cuidado cuando corresponda.</w:t>
            </w:r>
          </w:p>
        </w:tc>
        <w:tc>
          <w:tcPr>
            <w:tcW w:w="0" w:type="auto"/>
            <w:hideMark/>
          </w:tcPr>
          <w:p w14:paraId="3DE7A198" w14:textId="77777777" w:rsidR="00BA7CC2" w:rsidRPr="00BA7CC2" w:rsidRDefault="00BA7CC2" w:rsidP="00BA7CC2">
            <w:pPr>
              <w:spacing w:after="160" w:line="259" w:lineRule="auto"/>
              <w:jc w:val="both"/>
              <w:rPr>
                <w:rFonts w:ascii="Arial" w:hAnsi="Arial" w:cs="Arial"/>
                <w:sz w:val="24"/>
                <w:szCs w:val="24"/>
                <w:lang w:val="es-419"/>
              </w:rPr>
            </w:pPr>
            <w:r w:rsidRPr="00BA7CC2">
              <w:rPr>
                <w:rFonts w:ascii="Arial" w:hAnsi="Arial" w:cs="Arial"/>
                <w:sz w:val="24"/>
                <w:szCs w:val="24"/>
                <w:lang w:val="es-419"/>
              </w:rPr>
              <w:t>Profesional responsable de la atención</w:t>
            </w:r>
          </w:p>
        </w:tc>
      </w:tr>
    </w:tbl>
    <w:p w14:paraId="69DCAD14" w14:textId="77777777" w:rsidR="00BA7CC2" w:rsidRPr="00BA7CC2" w:rsidRDefault="00BA7CC2" w:rsidP="00BA7CC2">
      <w:pPr>
        <w:jc w:val="both"/>
        <w:rPr>
          <w:rFonts w:ascii="Arial" w:hAnsi="Arial" w:cs="Arial"/>
          <w:sz w:val="24"/>
          <w:szCs w:val="24"/>
        </w:rPr>
      </w:pPr>
    </w:p>
    <w:p w14:paraId="42897597" w14:textId="3E2ED23D" w:rsidR="00BA7CC2" w:rsidRPr="00BA7CC2" w:rsidRDefault="0084136D" w:rsidP="00BA7CC2">
      <w:pPr>
        <w:pStyle w:val="Ttulo1"/>
        <w:numPr>
          <w:ilvl w:val="0"/>
          <w:numId w:val="28"/>
        </w:numPr>
        <w:jc w:val="both"/>
        <w:rPr>
          <w:rFonts w:cs="Arial"/>
          <w:szCs w:val="24"/>
        </w:rPr>
      </w:pPr>
      <w:r w:rsidRPr="00BA7CC2">
        <w:rPr>
          <w:rFonts w:cs="Arial"/>
          <w:szCs w:val="24"/>
        </w:rPr>
        <w:t>DOCUMENTOS DE REFERENCIA:</w:t>
      </w:r>
    </w:p>
    <w:p w14:paraId="44CAB95B" w14:textId="77777777" w:rsidR="00BA7CC2" w:rsidRPr="00BA7CC2" w:rsidRDefault="00BA7CC2" w:rsidP="00BA7CC2">
      <w:pPr>
        <w:pStyle w:val="Sinespaciado"/>
        <w:jc w:val="both"/>
        <w:rPr>
          <w:rFonts w:ascii="Arial" w:hAnsi="Arial" w:cs="Arial"/>
          <w:sz w:val="24"/>
          <w:szCs w:val="24"/>
        </w:rPr>
      </w:pPr>
    </w:p>
    <w:p w14:paraId="3A61FA38" w14:textId="74AB1C20" w:rsidR="0084136D" w:rsidRPr="00BA7CC2" w:rsidRDefault="00BA7CC2" w:rsidP="00BA7CC2">
      <w:pPr>
        <w:pStyle w:val="Ttulo2"/>
        <w:numPr>
          <w:ilvl w:val="1"/>
          <w:numId w:val="28"/>
        </w:numPr>
        <w:jc w:val="both"/>
        <w:rPr>
          <w:rFonts w:cs="Arial"/>
          <w:szCs w:val="24"/>
        </w:rPr>
      </w:pPr>
      <w:r w:rsidRPr="00BA7CC2">
        <w:rPr>
          <w:rFonts w:cs="Arial"/>
          <w:szCs w:val="24"/>
        </w:rPr>
        <w:t>Normatividad</w:t>
      </w:r>
    </w:p>
    <w:p w14:paraId="6606DA8E" w14:textId="77777777" w:rsidR="00BA7CC2" w:rsidRPr="00BA7CC2" w:rsidRDefault="00BA7CC2" w:rsidP="00BA7CC2">
      <w:pPr>
        <w:jc w:val="both"/>
        <w:rPr>
          <w:rFonts w:ascii="Arial" w:hAnsi="Arial" w:cs="Arial"/>
          <w:sz w:val="24"/>
          <w:szCs w:val="24"/>
        </w:rPr>
      </w:pPr>
    </w:p>
    <w:p w14:paraId="5BC9040B" w14:textId="77777777" w:rsidR="0084136D" w:rsidRPr="00BA7CC2" w:rsidRDefault="0084136D" w:rsidP="00BA7CC2">
      <w:pPr>
        <w:jc w:val="both"/>
        <w:rPr>
          <w:rFonts w:ascii="Arial" w:hAnsi="Arial" w:cs="Arial"/>
          <w:sz w:val="24"/>
          <w:szCs w:val="24"/>
        </w:rPr>
      </w:pPr>
      <w:r w:rsidRPr="00BA7CC2">
        <w:rPr>
          <w:rFonts w:ascii="Arial" w:hAnsi="Arial" w:cs="Arial"/>
          <w:sz w:val="24"/>
          <w:szCs w:val="24"/>
        </w:rPr>
        <w:t>El presente subproceso se fundamenta en la siguiente normatividad, sin perjuicio de las disposiciones que la modifiquen, sustituyan o complementen:</w:t>
      </w:r>
    </w:p>
    <w:p w14:paraId="49AD01B2"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Constitución Política de Colombia de 1991. </w:t>
      </w:r>
    </w:p>
    <w:p w14:paraId="0D26F27E"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Ley 100 de 1993. </w:t>
      </w:r>
    </w:p>
    <w:p w14:paraId="2A3183AC"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Ley 715 de 2001. </w:t>
      </w:r>
    </w:p>
    <w:p w14:paraId="4895244B"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Ley 1098 de 2006 – Código de Infancia y Adolescencia. </w:t>
      </w:r>
    </w:p>
    <w:p w14:paraId="1C9E1DAD"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Ley 1257 de 2008. </w:t>
      </w:r>
    </w:p>
    <w:p w14:paraId="78E533CF"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Ley 1438 de 2011. </w:t>
      </w:r>
    </w:p>
    <w:p w14:paraId="0C0194B9"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Ley 1566 de 2012. </w:t>
      </w:r>
    </w:p>
    <w:p w14:paraId="33B32EE3"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Ley 1616 de 2013 – Ley de Salud Mental. </w:t>
      </w:r>
    </w:p>
    <w:p w14:paraId="7C1A7E59"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Ley 1751 de 2015 – Ley Estatutaria de Salud. </w:t>
      </w:r>
    </w:p>
    <w:p w14:paraId="1F6E0BE7"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Resolución 3280 de 2018. </w:t>
      </w:r>
    </w:p>
    <w:p w14:paraId="5BCB623A" w14:textId="77777777"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Resolución 3100 de 2019. </w:t>
      </w:r>
    </w:p>
    <w:p w14:paraId="51624300" w14:textId="77777777" w:rsidR="00BA7CC2"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Resolución 2654 de 2019 (Telesalud). </w:t>
      </w:r>
    </w:p>
    <w:p w14:paraId="0575B0E2" w14:textId="77777777" w:rsidR="00BA7CC2"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Resolución 518 de 2015 (Salud Pública). </w:t>
      </w:r>
    </w:p>
    <w:p w14:paraId="614040F5" w14:textId="77777777" w:rsidR="00BA7CC2"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Política Nacional de Salud Mental. </w:t>
      </w:r>
    </w:p>
    <w:p w14:paraId="761D32B5" w14:textId="77777777" w:rsidR="00BA7CC2"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Política de Atención Integral en Salud (PAIS). </w:t>
      </w:r>
    </w:p>
    <w:p w14:paraId="41F3F240" w14:textId="77777777" w:rsidR="00BA7CC2"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Modelo de Acción Integral Territorial (MAITE). </w:t>
      </w:r>
    </w:p>
    <w:p w14:paraId="7BECEC45" w14:textId="77777777" w:rsidR="00BA7CC2"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 xml:space="preserve">Política de Seguridad del Paciente. </w:t>
      </w:r>
    </w:p>
    <w:p w14:paraId="1F214B58" w14:textId="77777777" w:rsidR="00BA7CC2"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lastRenderedPageBreak/>
        <w:t xml:space="preserve">Acuerdo Municipal 006 de 2023 del Municipio de Bello. </w:t>
      </w:r>
    </w:p>
    <w:p w14:paraId="1679DE91" w14:textId="3AE28551" w:rsidR="0084136D" w:rsidRPr="00BA7CC2" w:rsidRDefault="0084136D" w:rsidP="00BA7CC2">
      <w:pPr>
        <w:pStyle w:val="Prrafodelista"/>
        <w:numPr>
          <w:ilvl w:val="0"/>
          <w:numId w:val="33"/>
        </w:numPr>
        <w:jc w:val="both"/>
        <w:rPr>
          <w:rFonts w:ascii="Arial" w:hAnsi="Arial" w:cs="Arial"/>
          <w:sz w:val="24"/>
          <w:szCs w:val="24"/>
        </w:rPr>
      </w:pPr>
      <w:r w:rsidRPr="00BA7CC2">
        <w:rPr>
          <w:rFonts w:ascii="Arial" w:hAnsi="Arial" w:cs="Arial"/>
          <w:sz w:val="24"/>
          <w:szCs w:val="24"/>
        </w:rPr>
        <w:t>Manual Institucional para la Gestión Integral de la Salud Mental de la E.S.E. Bellosalud.</w:t>
      </w:r>
    </w:p>
    <w:p w14:paraId="1E511719" w14:textId="77777777" w:rsidR="00BA7CC2" w:rsidRPr="00BA7CC2" w:rsidRDefault="00BA7CC2" w:rsidP="00BA7CC2">
      <w:pPr>
        <w:pStyle w:val="Prrafodelista"/>
        <w:ind w:left="1080"/>
        <w:jc w:val="both"/>
        <w:rPr>
          <w:rFonts w:ascii="Arial" w:hAnsi="Arial" w:cs="Arial"/>
          <w:sz w:val="24"/>
          <w:szCs w:val="24"/>
        </w:rPr>
      </w:pPr>
    </w:p>
    <w:p w14:paraId="766A36E7" w14:textId="0387162E" w:rsidR="00BA7CC2" w:rsidRPr="00BA7CC2" w:rsidRDefault="00BA7CC2" w:rsidP="00BA7CC2">
      <w:pPr>
        <w:pStyle w:val="Ttulo1"/>
        <w:numPr>
          <w:ilvl w:val="0"/>
          <w:numId w:val="28"/>
        </w:numPr>
        <w:jc w:val="both"/>
        <w:rPr>
          <w:rFonts w:cs="Arial"/>
          <w:szCs w:val="24"/>
          <w:lang w:val="es-MX"/>
        </w:rPr>
      </w:pPr>
      <w:r w:rsidRPr="00BA7CC2">
        <w:rPr>
          <w:rFonts w:cs="Arial"/>
          <w:szCs w:val="24"/>
          <w:lang w:val="es-MX"/>
        </w:rPr>
        <w:t>CONTROL DE CAMBIOS</w:t>
      </w:r>
    </w:p>
    <w:p w14:paraId="63C924AA" w14:textId="77777777" w:rsidR="00BA7CC2" w:rsidRPr="00BA7CC2" w:rsidRDefault="00BA7CC2" w:rsidP="00BA7CC2">
      <w:pPr>
        <w:autoSpaceDE w:val="0"/>
        <w:autoSpaceDN w:val="0"/>
        <w:adjustRightInd w:val="0"/>
        <w:jc w:val="both"/>
        <w:rPr>
          <w:rFonts w:ascii="Arial" w:hAnsi="Arial" w:cs="Arial"/>
          <w:sz w:val="24"/>
          <w:szCs w:val="24"/>
        </w:rPr>
      </w:pPr>
    </w:p>
    <w:tbl>
      <w:tblPr>
        <w:tblpPr w:leftFromText="141" w:rightFromText="141" w:vertAnchor="text" w:horzAnchor="margin" w:tblpXSpec="center" w:tblpY="56"/>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1"/>
        <w:gridCol w:w="1569"/>
        <w:gridCol w:w="3501"/>
        <w:gridCol w:w="1831"/>
        <w:gridCol w:w="2190"/>
      </w:tblGrid>
      <w:tr w:rsidR="00BA7CC2" w:rsidRPr="00BA7CC2" w14:paraId="6FDBACD0" w14:textId="77777777" w:rsidTr="00BA7CC2">
        <w:trPr>
          <w:trHeight w:val="520"/>
        </w:trPr>
        <w:tc>
          <w:tcPr>
            <w:tcW w:w="1021"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36908B90" w14:textId="77777777" w:rsidR="00BA7CC2" w:rsidRPr="00BA7CC2" w:rsidRDefault="00BA7CC2" w:rsidP="009C3F65">
            <w:pPr>
              <w:pStyle w:val="Ttulo2"/>
              <w:jc w:val="center"/>
              <w:rPr>
                <w:rFonts w:cs="Arial"/>
                <w:color w:val="FFFFFF"/>
                <w:szCs w:val="24"/>
                <w:lang w:val="es-ES"/>
              </w:rPr>
            </w:pPr>
            <w:r w:rsidRPr="00BA7CC2">
              <w:rPr>
                <w:rFonts w:cs="Arial"/>
                <w:color w:val="FFFFFF"/>
                <w:szCs w:val="24"/>
              </w:rPr>
              <w:t>Versión</w:t>
            </w:r>
          </w:p>
        </w:tc>
        <w:tc>
          <w:tcPr>
            <w:tcW w:w="1569"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6246EC2D" w14:textId="77777777" w:rsidR="00BA7CC2" w:rsidRPr="00BA7CC2" w:rsidRDefault="00BA7CC2" w:rsidP="009C3F65">
            <w:pPr>
              <w:pStyle w:val="Ttulo2"/>
              <w:jc w:val="center"/>
              <w:rPr>
                <w:rFonts w:cs="Arial"/>
                <w:color w:val="FFFFFF"/>
                <w:szCs w:val="24"/>
              </w:rPr>
            </w:pPr>
            <w:r w:rsidRPr="00BA7CC2">
              <w:rPr>
                <w:rFonts w:cs="Arial"/>
                <w:color w:val="FFFFFF"/>
                <w:szCs w:val="24"/>
              </w:rPr>
              <w:t>Fecha de Cambio</w:t>
            </w:r>
          </w:p>
        </w:tc>
        <w:tc>
          <w:tcPr>
            <w:tcW w:w="3501"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55DF6485" w14:textId="77777777" w:rsidR="00BA7CC2" w:rsidRPr="00BA7CC2" w:rsidRDefault="00BA7CC2" w:rsidP="009C3F65">
            <w:pPr>
              <w:pStyle w:val="Ttulo2"/>
              <w:jc w:val="center"/>
              <w:rPr>
                <w:rFonts w:cs="Arial"/>
                <w:color w:val="FFFFFF"/>
                <w:szCs w:val="24"/>
              </w:rPr>
            </w:pPr>
            <w:r w:rsidRPr="00BA7CC2">
              <w:rPr>
                <w:rFonts w:cs="Arial"/>
                <w:color w:val="FFFFFF"/>
                <w:szCs w:val="24"/>
              </w:rPr>
              <w:t>Descripción del cambio</w:t>
            </w:r>
          </w:p>
        </w:tc>
        <w:tc>
          <w:tcPr>
            <w:tcW w:w="1831"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6202AEA" w14:textId="77777777" w:rsidR="00BA7CC2" w:rsidRPr="00BA7CC2" w:rsidRDefault="00BA7CC2" w:rsidP="009C3F65">
            <w:pPr>
              <w:pStyle w:val="Ttulo2"/>
              <w:jc w:val="center"/>
              <w:rPr>
                <w:rFonts w:cs="Arial"/>
                <w:color w:val="FFFFFF"/>
                <w:szCs w:val="24"/>
              </w:rPr>
            </w:pPr>
            <w:r w:rsidRPr="00BA7CC2">
              <w:rPr>
                <w:rFonts w:cs="Arial"/>
                <w:color w:val="FFFFFF"/>
                <w:szCs w:val="24"/>
              </w:rPr>
              <w:t>Elaborado / Revisado</w:t>
            </w:r>
          </w:p>
        </w:tc>
        <w:tc>
          <w:tcPr>
            <w:tcW w:w="2190"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4B1B42BA" w14:textId="77777777" w:rsidR="00BA7CC2" w:rsidRPr="00BA7CC2" w:rsidRDefault="00BA7CC2" w:rsidP="009C3F65">
            <w:pPr>
              <w:pStyle w:val="Ttulo2"/>
              <w:jc w:val="center"/>
              <w:rPr>
                <w:rFonts w:cs="Arial"/>
                <w:color w:val="FFFFFF"/>
                <w:szCs w:val="24"/>
              </w:rPr>
            </w:pPr>
            <w:r w:rsidRPr="00BA7CC2">
              <w:rPr>
                <w:rFonts w:cs="Arial"/>
                <w:color w:val="FFFFFF"/>
                <w:szCs w:val="24"/>
              </w:rPr>
              <w:t>Aprobación</w:t>
            </w:r>
          </w:p>
        </w:tc>
      </w:tr>
      <w:tr w:rsidR="00BA7CC2" w:rsidRPr="00BA7CC2" w14:paraId="39B97EA5" w14:textId="77777777" w:rsidTr="00BA7CC2">
        <w:trPr>
          <w:trHeight w:val="217"/>
        </w:trPr>
        <w:tc>
          <w:tcPr>
            <w:tcW w:w="1021" w:type="dxa"/>
            <w:tcBorders>
              <w:top w:val="single" w:sz="4" w:space="0" w:color="auto"/>
              <w:left w:val="single" w:sz="4" w:space="0" w:color="auto"/>
              <w:bottom w:val="single" w:sz="4" w:space="0" w:color="auto"/>
              <w:right w:val="single" w:sz="4" w:space="0" w:color="auto"/>
            </w:tcBorders>
          </w:tcPr>
          <w:p w14:paraId="5981A032" w14:textId="486AD2F1" w:rsidR="00BA7CC2" w:rsidRPr="00BA7CC2" w:rsidRDefault="00BA7CC2" w:rsidP="00BA7CC2">
            <w:pPr>
              <w:jc w:val="both"/>
              <w:rPr>
                <w:rFonts w:ascii="Arial" w:hAnsi="Arial" w:cs="Arial"/>
                <w:sz w:val="24"/>
                <w:szCs w:val="24"/>
              </w:rPr>
            </w:pPr>
            <w:r w:rsidRPr="00BA7CC2">
              <w:rPr>
                <w:rFonts w:ascii="Arial" w:hAnsi="Arial" w:cs="Arial"/>
                <w:sz w:val="24"/>
                <w:szCs w:val="24"/>
              </w:rPr>
              <w:t> 01</w:t>
            </w:r>
          </w:p>
        </w:tc>
        <w:tc>
          <w:tcPr>
            <w:tcW w:w="1569" w:type="dxa"/>
            <w:tcBorders>
              <w:top w:val="single" w:sz="4" w:space="0" w:color="auto"/>
              <w:left w:val="single" w:sz="4" w:space="0" w:color="auto"/>
              <w:bottom w:val="single" w:sz="4" w:space="0" w:color="auto"/>
              <w:right w:val="single" w:sz="4" w:space="0" w:color="auto"/>
            </w:tcBorders>
          </w:tcPr>
          <w:p w14:paraId="5CEB8916" w14:textId="452B3208" w:rsidR="00BA7CC2" w:rsidRPr="00BA7CC2" w:rsidRDefault="00BA7CC2" w:rsidP="00BA7CC2">
            <w:pPr>
              <w:jc w:val="both"/>
              <w:rPr>
                <w:rFonts w:ascii="Arial" w:hAnsi="Arial" w:cs="Arial"/>
                <w:sz w:val="24"/>
                <w:szCs w:val="24"/>
              </w:rPr>
            </w:pPr>
            <w:r w:rsidRPr="00BA7CC2">
              <w:rPr>
                <w:rFonts w:ascii="Arial" w:hAnsi="Arial" w:cs="Arial"/>
                <w:sz w:val="24"/>
                <w:szCs w:val="24"/>
              </w:rPr>
              <w:t>19 de mayo 2026 </w:t>
            </w:r>
          </w:p>
        </w:tc>
        <w:tc>
          <w:tcPr>
            <w:tcW w:w="3501" w:type="dxa"/>
            <w:tcBorders>
              <w:top w:val="single" w:sz="4" w:space="0" w:color="auto"/>
              <w:left w:val="single" w:sz="4" w:space="0" w:color="auto"/>
              <w:bottom w:val="single" w:sz="4" w:space="0" w:color="auto"/>
              <w:right w:val="single" w:sz="4" w:space="0" w:color="auto"/>
            </w:tcBorders>
          </w:tcPr>
          <w:p w14:paraId="52F6F28C" w14:textId="034AECCF" w:rsidR="00BA7CC2" w:rsidRPr="00BA7CC2" w:rsidRDefault="00BA7CC2" w:rsidP="00BA7CC2">
            <w:pPr>
              <w:jc w:val="both"/>
              <w:rPr>
                <w:rFonts w:ascii="Arial" w:hAnsi="Arial" w:cs="Arial"/>
                <w:sz w:val="24"/>
                <w:szCs w:val="24"/>
              </w:rPr>
            </w:pPr>
            <w:r w:rsidRPr="00BA7CC2">
              <w:rPr>
                <w:rFonts w:ascii="Arial" w:hAnsi="Arial" w:cs="Arial"/>
                <w:sz w:val="24"/>
                <w:szCs w:val="24"/>
              </w:rPr>
              <w:t>Se crea el Subproceso Gestión Integral de la Atención en Salud Mental como parte del Proceso de Consulta Externa, integrando el Manual Institucional para la Gestión Integral de la Salud Mental, las rutas institucionales, la gestión integral del riesgo y los lineamientos del Sistema Integrado de Gestión de la E.S.E. Bellosalud.</w:t>
            </w:r>
          </w:p>
        </w:tc>
        <w:tc>
          <w:tcPr>
            <w:tcW w:w="1831" w:type="dxa"/>
            <w:tcBorders>
              <w:top w:val="single" w:sz="4" w:space="0" w:color="auto"/>
              <w:left w:val="single" w:sz="4" w:space="0" w:color="auto"/>
              <w:bottom w:val="single" w:sz="4" w:space="0" w:color="auto"/>
              <w:right w:val="single" w:sz="4" w:space="0" w:color="auto"/>
            </w:tcBorders>
          </w:tcPr>
          <w:p w14:paraId="66C3D1BA" w14:textId="11C5D8A9" w:rsidR="00BA7CC2" w:rsidRPr="00BA7CC2" w:rsidRDefault="00BA7CC2" w:rsidP="00BA7CC2">
            <w:pPr>
              <w:jc w:val="both"/>
              <w:rPr>
                <w:rFonts w:ascii="Arial" w:hAnsi="Arial" w:cs="Arial"/>
                <w:sz w:val="24"/>
                <w:szCs w:val="24"/>
              </w:rPr>
            </w:pPr>
            <w:r w:rsidRPr="00BA7CC2">
              <w:rPr>
                <w:rFonts w:ascii="Arial" w:hAnsi="Arial" w:cs="Arial"/>
                <w:sz w:val="24"/>
                <w:szCs w:val="24"/>
              </w:rPr>
              <w:t xml:space="preserve">Líder de salud mental / </w:t>
            </w:r>
            <w:r w:rsidR="00901547">
              <w:rPr>
                <w:rFonts w:ascii="Arial" w:hAnsi="Arial" w:cs="Arial"/>
                <w:sz w:val="24"/>
                <w:szCs w:val="24"/>
              </w:rPr>
              <w:t>jefe de calidad</w:t>
            </w:r>
          </w:p>
        </w:tc>
        <w:tc>
          <w:tcPr>
            <w:tcW w:w="2190" w:type="dxa"/>
            <w:tcBorders>
              <w:top w:val="single" w:sz="4" w:space="0" w:color="auto"/>
              <w:left w:val="single" w:sz="4" w:space="0" w:color="auto"/>
              <w:bottom w:val="single" w:sz="4" w:space="0" w:color="auto"/>
              <w:right w:val="single" w:sz="4" w:space="0" w:color="auto"/>
            </w:tcBorders>
          </w:tcPr>
          <w:p w14:paraId="0151C9DB" w14:textId="37AEE2E8" w:rsidR="00BA7CC2" w:rsidRPr="00BA7CC2" w:rsidRDefault="00BA7CC2" w:rsidP="00BA7CC2">
            <w:pPr>
              <w:jc w:val="both"/>
              <w:rPr>
                <w:rFonts w:ascii="Arial" w:hAnsi="Arial" w:cs="Arial"/>
                <w:sz w:val="24"/>
                <w:szCs w:val="24"/>
              </w:rPr>
            </w:pPr>
            <w:r w:rsidRPr="00BA7CC2">
              <w:rPr>
                <w:rFonts w:ascii="Arial" w:hAnsi="Arial" w:cs="Arial"/>
                <w:sz w:val="24"/>
                <w:szCs w:val="24"/>
              </w:rPr>
              <w:t xml:space="preserve">Gerente </w:t>
            </w:r>
          </w:p>
        </w:tc>
      </w:tr>
      <w:tr w:rsidR="00BA7CC2" w:rsidRPr="00BA7CC2" w14:paraId="030A27D7" w14:textId="77777777" w:rsidTr="00BA7CC2">
        <w:trPr>
          <w:trHeight w:val="217"/>
        </w:trPr>
        <w:tc>
          <w:tcPr>
            <w:tcW w:w="1021" w:type="dxa"/>
            <w:tcBorders>
              <w:top w:val="single" w:sz="4" w:space="0" w:color="auto"/>
              <w:left w:val="single" w:sz="4" w:space="0" w:color="auto"/>
              <w:bottom w:val="single" w:sz="4" w:space="0" w:color="auto"/>
              <w:right w:val="single" w:sz="4" w:space="0" w:color="auto"/>
            </w:tcBorders>
          </w:tcPr>
          <w:p w14:paraId="11B4ACEF" w14:textId="207EBF47" w:rsidR="00BA7CC2" w:rsidRPr="00BA7CC2" w:rsidRDefault="00BA7CC2" w:rsidP="00BA7CC2">
            <w:pPr>
              <w:jc w:val="both"/>
              <w:rPr>
                <w:rFonts w:ascii="Arial" w:hAnsi="Arial" w:cs="Arial"/>
                <w:sz w:val="24"/>
                <w:szCs w:val="24"/>
              </w:rPr>
            </w:pPr>
            <w:r w:rsidRPr="00BA7CC2">
              <w:rPr>
                <w:rFonts w:ascii="Arial" w:hAnsi="Arial" w:cs="Arial"/>
                <w:sz w:val="24"/>
                <w:szCs w:val="24"/>
              </w:rPr>
              <w:t>02</w:t>
            </w:r>
          </w:p>
        </w:tc>
        <w:tc>
          <w:tcPr>
            <w:tcW w:w="1569" w:type="dxa"/>
            <w:tcBorders>
              <w:top w:val="single" w:sz="4" w:space="0" w:color="auto"/>
              <w:left w:val="single" w:sz="4" w:space="0" w:color="auto"/>
              <w:bottom w:val="single" w:sz="4" w:space="0" w:color="auto"/>
              <w:right w:val="single" w:sz="4" w:space="0" w:color="auto"/>
            </w:tcBorders>
          </w:tcPr>
          <w:p w14:paraId="5B5B0F96" w14:textId="77518517" w:rsidR="00BA7CC2" w:rsidRPr="00BA7CC2" w:rsidRDefault="00BA7CC2" w:rsidP="00BA7CC2">
            <w:pPr>
              <w:jc w:val="both"/>
              <w:rPr>
                <w:rFonts w:ascii="Arial" w:hAnsi="Arial" w:cs="Arial"/>
                <w:sz w:val="24"/>
                <w:szCs w:val="24"/>
              </w:rPr>
            </w:pPr>
            <w:r w:rsidRPr="00BA7CC2">
              <w:rPr>
                <w:rFonts w:ascii="Arial" w:hAnsi="Arial" w:cs="Arial"/>
                <w:sz w:val="24"/>
                <w:szCs w:val="24"/>
              </w:rPr>
              <w:t>Octubre 2026</w:t>
            </w:r>
          </w:p>
        </w:tc>
        <w:tc>
          <w:tcPr>
            <w:tcW w:w="3501" w:type="dxa"/>
            <w:tcBorders>
              <w:top w:val="single" w:sz="4" w:space="0" w:color="auto"/>
              <w:left w:val="single" w:sz="4" w:space="0" w:color="auto"/>
              <w:bottom w:val="single" w:sz="4" w:space="0" w:color="auto"/>
              <w:right w:val="single" w:sz="4" w:space="0" w:color="auto"/>
            </w:tcBorders>
          </w:tcPr>
          <w:p w14:paraId="4F71C143" w14:textId="3CB61396" w:rsidR="00BA7CC2" w:rsidRPr="00BA7CC2" w:rsidRDefault="00BA7CC2" w:rsidP="00BA7CC2">
            <w:pPr>
              <w:jc w:val="both"/>
              <w:rPr>
                <w:rFonts w:ascii="Arial" w:hAnsi="Arial" w:cs="Arial"/>
                <w:sz w:val="24"/>
                <w:szCs w:val="24"/>
              </w:rPr>
            </w:pPr>
            <w:r w:rsidRPr="00BA7CC2">
              <w:rPr>
                <w:rFonts w:ascii="Arial" w:hAnsi="Arial" w:cs="Arial"/>
                <w:sz w:val="24"/>
                <w:szCs w:val="24"/>
              </w:rPr>
              <w:t xml:space="preserve">Actualización del formato y codificación </w:t>
            </w:r>
          </w:p>
        </w:tc>
        <w:tc>
          <w:tcPr>
            <w:tcW w:w="1831" w:type="dxa"/>
            <w:tcBorders>
              <w:top w:val="single" w:sz="4" w:space="0" w:color="auto"/>
              <w:left w:val="single" w:sz="4" w:space="0" w:color="auto"/>
              <w:bottom w:val="single" w:sz="4" w:space="0" w:color="auto"/>
              <w:right w:val="single" w:sz="4" w:space="0" w:color="auto"/>
            </w:tcBorders>
          </w:tcPr>
          <w:p w14:paraId="5A100406" w14:textId="2B7E0D97" w:rsidR="00BA7CC2" w:rsidRPr="00BA7CC2" w:rsidRDefault="00BA7CC2" w:rsidP="00BA7CC2">
            <w:pPr>
              <w:jc w:val="both"/>
              <w:rPr>
                <w:rFonts w:ascii="Arial" w:hAnsi="Arial" w:cs="Arial"/>
                <w:sz w:val="24"/>
                <w:szCs w:val="24"/>
              </w:rPr>
            </w:pPr>
            <w:r w:rsidRPr="00BA7CC2">
              <w:rPr>
                <w:rFonts w:ascii="Arial" w:hAnsi="Arial" w:cs="Arial"/>
                <w:sz w:val="24"/>
                <w:szCs w:val="24"/>
              </w:rPr>
              <w:t xml:space="preserve">Líder de salud mental / jefe de calidad </w:t>
            </w:r>
          </w:p>
        </w:tc>
        <w:tc>
          <w:tcPr>
            <w:tcW w:w="2190" w:type="dxa"/>
            <w:tcBorders>
              <w:top w:val="single" w:sz="4" w:space="0" w:color="auto"/>
              <w:left w:val="single" w:sz="4" w:space="0" w:color="auto"/>
              <w:bottom w:val="single" w:sz="4" w:space="0" w:color="auto"/>
              <w:right w:val="single" w:sz="4" w:space="0" w:color="auto"/>
            </w:tcBorders>
          </w:tcPr>
          <w:p w14:paraId="33774E78" w14:textId="1DDC2A7B" w:rsidR="00BA7CC2" w:rsidRPr="00BA7CC2" w:rsidRDefault="00BA7CC2" w:rsidP="00BA7CC2">
            <w:pPr>
              <w:jc w:val="both"/>
              <w:rPr>
                <w:rFonts w:ascii="Arial" w:hAnsi="Arial" w:cs="Arial"/>
                <w:sz w:val="24"/>
                <w:szCs w:val="24"/>
              </w:rPr>
            </w:pPr>
            <w:r w:rsidRPr="00BA7CC2">
              <w:rPr>
                <w:rFonts w:ascii="Arial" w:hAnsi="Arial" w:cs="Arial"/>
                <w:sz w:val="24"/>
                <w:szCs w:val="24"/>
              </w:rPr>
              <w:t xml:space="preserve">Gerente </w:t>
            </w:r>
          </w:p>
        </w:tc>
      </w:tr>
    </w:tbl>
    <w:p w14:paraId="19FDD85C" w14:textId="77777777" w:rsidR="0084136D" w:rsidRPr="00BA7CC2" w:rsidRDefault="0084136D" w:rsidP="00BA7CC2">
      <w:pPr>
        <w:jc w:val="both"/>
        <w:rPr>
          <w:rFonts w:ascii="Arial" w:hAnsi="Arial" w:cs="Arial"/>
          <w:sz w:val="24"/>
          <w:szCs w:val="24"/>
        </w:rPr>
      </w:pPr>
    </w:p>
    <w:p w14:paraId="7010BAED" w14:textId="703A828C" w:rsidR="00D545AE" w:rsidRPr="00BA7CC2" w:rsidRDefault="00D545AE" w:rsidP="00BA7CC2">
      <w:pPr>
        <w:jc w:val="both"/>
        <w:rPr>
          <w:rFonts w:ascii="Arial" w:hAnsi="Arial" w:cs="Arial"/>
          <w:sz w:val="24"/>
          <w:szCs w:val="24"/>
        </w:rPr>
      </w:pPr>
    </w:p>
    <w:sectPr w:rsidR="00D545AE" w:rsidRPr="00BA7CC2">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5D71B" w14:textId="77777777" w:rsidR="00AB218B" w:rsidRDefault="00AB218B" w:rsidP="00D5034A">
      <w:pPr>
        <w:spacing w:after="0" w:line="240" w:lineRule="auto"/>
      </w:pPr>
      <w:r>
        <w:separator/>
      </w:r>
    </w:p>
  </w:endnote>
  <w:endnote w:type="continuationSeparator" w:id="0">
    <w:p w14:paraId="6FD775E9" w14:textId="77777777" w:rsidR="00AB218B" w:rsidRDefault="00AB218B" w:rsidP="00D5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2AF28" w14:textId="77777777" w:rsidR="009E1F17" w:rsidRDefault="009E1F1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50E7" w14:textId="14618897" w:rsidR="00D5034A" w:rsidRDefault="00F72FE8">
    <w:pPr>
      <w:pStyle w:val="Piedepgina"/>
    </w:pPr>
    <w:r>
      <w:rPr>
        <w:noProof/>
      </w:rPr>
      <w:drawing>
        <wp:anchor distT="0" distB="0" distL="114300" distR="114300" simplePos="0" relativeHeight="251658240" behindDoc="1" locked="0" layoutInCell="1" allowOverlap="1" wp14:anchorId="7CC1CCE3" wp14:editId="11E7B81D">
          <wp:simplePos x="0" y="0"/>
          <wp:positionH relativeFrom="leftMargin">
            <wp:posOffset>184785</wp:posOffset>
          </wp:positionH>
          <wp:positionV relativeFrom="paragraph">
            <wp:posOffset>-1946275</wp:posOffset>
          </wp:positionV>
          <wp:extent cx="323850" cy="885825"/>
          <wp:effectExtent l="0" t="0" r="0" b="9525"/>
          <wp:wrapTight wrapText="bothSides">
            <wp:wrapPolygon edited="0">
              <wp:start x="0" y="0"/>
              <wp:lineTo x="0" y="21368"/>
              <wp:lineTo x="20329" y="21368"/>
              <wp:lineTo x="20329" y="0"/>
              <wp:lineTo x="0" y="0"/>
            </wp:wrapPolygon>
          </wp:wrapTight>
          <wp:docPr id="3" name="Imagen 5">
            <a:extLst xmlns:a="http://schemas.openxmlformats.org/drawingml/2006/main">
              <a:ext uri="{FF2B5EF4-FFF2-40B4-BE49-F238E27FC236}">
                <a16:creationId xmlns:a16="http://schemas.microsoft.com/office/drawing/2014/main" id="{30E466DE-B5A3-A279-667B-A6BD07000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5">
                    <a:extLst>
                      <a:ext uri="{FF2B5EF4-FFF2-40B4-BE49-F238E27FC236}">
                        <a16:creationId xmlns:a16="http://schemas.microsoft.com/office/drawing/2014/main" id="{30E466DE-B5A3-A279-667B-A6BD07000D5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41315" t="29657" r="49106" b="28186"/>
                  <a:stretch>
                    <a:fillRect/>
                  </a:stretch>
                </pic:blipFill>
                <pic:spPr bwMode="auto">
                  <a:xfrm>
                    <a:off x="0" y="0"/>
                    <a:ext cx="32385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55C4C" w14:textId="77777777" w:rsidR="00D5034A" w:rsidRDefault="00D5034A">
    <w:pPr>
      <w:pStyle w:val="Piedepgina"/>
    </w:pPr>
  </w:p>
  <w:p w14:paraId="7292BA28" w14:textId="77777777" w:rsidR="00D5034A" w:rsidRDefault="00D5034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87A2" w14:textId="77777777" w:rsidR="009E1F17" w:rsidRDefault="009E1F1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79EA8" w14:textId="77777777" w:rsidR="00AB218B" w:rsidRDefault="00AB218B" w:rsidP="00D5034A">
      <w:pPr>
        <w:spacing w:after="0" w:line="240" w:lineRule="auto"/>
      </w:pPr>
      <w:r>
        <w:separator/>
      </w:r>
    </w:p>
  </w:footnote>
  <w:footnote w:type="continuationSeparator" w:id="0">
    <w:p w14:paraId="5E3209B2" w14:textId="77777777" w:rsidR="00AB218B" w:rsidRDefault="00AB218B" w:rsidP="00D50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B4683" w14:textId="77777777" w:rsidR="009E1F17" w:rsidRDefault="009E1F1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46"/>
      <w:gridCol w:w="4748"/>
      <w:gridCol w:w="2162"/>
    </w:tblGrid>
    <w:tr w:rsidR="0084136D" w:rsidRPr="002236C3" w14:paraId="385A56B8" w14:textId="77777777" w:rsidTr="0084136D">
      <w:trPr>
        <w:cantSplit/>
        <w:trHeight w:val="340"/>
      </w:trPr>
      <w:tc>
        <w:tcPr>
          <w:tcW w:w="2446" w:type="dxa"/>
          <w:vMerge w:val="restart"/>
          <w:tcBorders>
            <w:top w:val="single" w:sz="4" w:space="0" w:color="auto"/>
            <w:left w:val="single" w:sz="4" w:space="0" w:color="auto"/>
            <w:right w:val="single" w:sz="4" w:space="0" w:color="auto"/>
          </w:tcBorders>
          <w:vAlign w:val="center"/>
          <w:hideMark/>
        </w:tcPr>
        <w:p w14:paraId="26205916" w14:textId="7D92188C" w:rsidR="0084136D" w:rsidRPr="00EA01B9" w:rsidRDefault="0084136D" w:rsidP="0084136D">
          <w:pPr>
            <w:tabs>
              <w:tab w:val="center" w:pos="4419"/>
              <w:tab w:val="right" w:pos="8838"/>
            </w:tabs>
            <w:spacing w:after="0" w:line="240" w:lineRule="auto"/>
            <w:jc w:val="center"/>
            <w:rPr>
              <w:rFonts w:ascii="Arial" w:hAnsi="Arial" w:cs="Arial"/>
            </w:rPr>
          </w:pPr>
          <w:r>
            <w:rPr>
              <w:noProof/>
            </w:rPr>
            <w:drawing>
              <wp:anchor distT="0" distB="0" distL="114300" distR="114300" simplePos="0" relativeHeight="251660288" behindDoc="0" locked="0" layoutInCell="1" allowOverlap="1" wp14:anchorId="1B47A20C" wp14:editId="5A335008">
                <wp:simplePos x="0" y="0"/>
                <wp:positionH relativeFrom="column">
                  <wp:posOffset>62865</wp:posOffset>
                </wp:positionH>
                <wp:positionV relativeFrom="paragraph">
                  <wp:posOffset>6350</wp:posOffset>
                </wp:positionV>
                <wp:extent cx="1314450" cy="604520"/>
                <wp:effectExtent l="0" t="0" r="0" b="5080"/>
                <wp:wrapNone/>
                <wp:docPr id="445913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26707" b="27313"/>
                        <a:stretch>
                          <a:fillRect/>
                        </a:stretch>
                      </pic:blipFill>
                      <pic:spPr bwMode="auto">
                        <a:xfrm>
                          <a:off x="0" y="0"/>
                          <a:ext cx="1314450" cy="604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748" w:type="dxa"/>
          <w:vMerge w:val="restart"/>
          <w:tcBorders>
            <w:top w:val="single" w:sz="4" w:space="0" w:color="auto"/>
            <w:left w:val="single" w:sz="4" w:space="0" w:color="auto"/>
            <w:right w:val="single" w:sz="4" w:space="0" w:color="auto"/>
          </w:tcBorders>
          <w:vAlign w:val="center"/>
        </w:tcPr>
        <w:p w14:paraId="0D77F0FE" w14:textId="360C2709" w:rsidR="0084136D" w:rsidRPr="001C756D" w:rsidRDefault="0084136D" w:rsidP="0084136D">
          <w:pPr>
            <w:jc w:val="center"/>
            <w:rPr>
              <w:rFonts w:ascii="Aptos" w:hAnsi="Aptos" w:cs="Arial"/>
              <w:b/>
              <w:sz w:val="28"/>
              <w:szCs w:val="28"/>
            </w:rPr>
          </w:pPr>
          <w:r>
            <w:rPr>
              <w:rFonts w:ascii="Arial" w:hAnsi="Arial" w:cs="Arial"/>
              <w:b/>
              <w:sz w:val="24"/>
              <w:szCs w:val="24"/>
            </w:rPr>
            <w:t>INSTRUCTIVO</w:t>
          </w:r>
          <w:r w:rsidR="007B5159">
            <w:rPr>
              <w:rFonts w:ascii="Arial" w:hAnsi="Arial" w:cs="Arial"/>
              <w:b/>
              <w:sz w:val="24"/>
              <w:szCs w:val="24"/>
            </w:rPr>
            <w:t xml:space="preserve"> </w:t>
          </w:r>
          <w:r w:rsidR="009C3F65">
            <w:rPr>
              <w:rFonts w:ascii="Arial" w:hAnsi="Arial" w:cs="Arial"/>
              <w:b/>
              <w:sz w:val="24"/>
              <w:szCs w:val="24"/>
            </w:rPr>
            <w:t xml:space="preserve">- </w:t>
          </w:r>
          <w:r w:rsidR="007B5159">
            <w:rPr>
              <w:rFonts w:ascii="Arial" w:hAnsi="Arial" w:cs="Arial"/>
              <w:b/>
              <w:sz w:val="24"/>
              <w:szCs w:val="24"/>
            </w:rPr>
            <w:t xml:space="preserve">PROCESO </w:t>
          </w:r>
          <w:r>
            <w:rPr>
              <w:rFonts w:ascii="Arial" w:hAnsi="Arial" w:cs="Arial"/>
              <w:b/>
              <w:sz w:val="24"/>
              <w:szCs w:val="24"/>
            </w:rPr>
            <w:t>SALUD MENTAL</w:t>
          </w:r>
        </w:p>
      </w:tc>
      <w:tc>
        <w:tcPr>
          <w:tcW w:w="2162" w:type="dxa"/>
          <w:tcBorders>
            <w:top w:val="single" w:sz="4" w:space="0" w:color="auto"/>
            <w:left w:val="single" w:sz="4" w:space="0" w:color="auto"/>
            <w:bottom w:val="single" w:sz="4" w:space="0" w:color="auto"/>
            <w:right w:val="single" w:sz="4" w:space="0" w:color="auto"/>
          </w:tcBorders>
          <w:vAlign w:val="center"/>
        </w:tcPr>
        <w:p w14:paraId="4D650AC0" w14:textId="368A2B4E" w:rsidR="0084136D" w:rsidRPr="001C756D" w:rsidRDefault="0084136D" w:rsidP="0084136D">
          <w:pPr>
            <w:tabs>
              <w:tab w:val="center" w:pos="4419"/>
              <w:tab w:val="right" w:pos="8838"/>
            </w:tabs>
            <w:spacing w:after="0" w:line="240" w:lineRule="auto"/>
            <w:rPr>
              <w:rFonts w:ascii="Aptos" w:hAnsi="Aptos" w:cs="Arial"/>
              <w:bCs/>
              <w:sz w:val="18"/>
              <w:szCs w:val="18"/>
            </w:rPr>
          </w:pPr>
          <w:r w:rsidRPr="001C756D">
            <w:rPr>
              <w:rFonts w:ascii="Aptos" w:hAnsi="Aptos" w:cs="Arial"/>
              <w:bCs/>
              <w:sz w:val="18"/>
              <w:szCs w:val="18"/>
            </w:rPr>
            <w:t>Código:</w:t>
          </w:r>
          <w:r>
            <w:rPr>
              <w:rFonts w:ascii="Aptos" w:hAnsi="Aptos" w:cs="Arial"/>
              <w:bCs/>
              <w:sz w:val="18"/>
              <w:szCs w:val="18"/>
            </w:rPr>
            <w:t xml:space="preserve"> </w:t>
          </w:r>
          <w:r w:rsidR="007B5159">
            <w:rPr>
              <w:rFonts w:ascii="Aptos" w:hAnsi="Aptos" w:cs="Arial"/>
              <w:bCs/>
              <w:sz w:val="18"/>
              <w:szCs w:val="18"/>
            </w:rPr>
            <w:t>SM-I-001</w:t>
          </w:r>
        </w:p>
      </w:tc>
    </w:tr>
    <w:tr w:rsidR="0084136D" w:rsidRPr="002236C3" w14:paraId="65F7B9E7" w14:textId="77777777" w:rsidTr="0084136D">
      <w:trPr>
        <w:cantSplit/>
        <w:trHeight w:val="340"/>
      </w:trPr>
      <w:tc>
        <w:tcPr>
          <w:tcW w:w="2446" w:type="dxa"/>
          <w:vMerge/>
          <w:tcBorders>
            <w:left w:val="single" w:sz="4" w:space="0" w:color="auto"/>
            <w:right w:val="single" w:sz="4" w:space="0" w:color="auto"/>
          </w:tcBorders>
          <w:vAlign w:val="center"/>
        </w:tcPr>
        <w:p w14:paraId="7CBDAB0E" w14:textId="77777777" w:rsidR="0084136D" w:rsidRDefault="0084136D" w:rsidP="0084136D">
          <w:pPr>
            <w:tabs>
              <w:tab w:val="center" w:pos="4419"/>
              <w:tab w:val="right" w:pos="8838"/>
            </w:tabs>
            <w:spacing w:after="0" w:line="240" w:lineRule="auto"/>
            <w:jc w:val="center"/>
            <w:rPr>
              <w:rFonts w:ascii="Arial" w:hAnsi="Arial" w:cs="Arial"/>
              <w:noProof/>
            </w:rPr>
          </w:pPr>
        </w:p>
      </w:tc>
      <w:tc>
        <w:tcPr>
          <w:tcW w:w="4748" w:type="dxa"/>
          <w:vMerge/>
          <w:tcBorders>
            <w:left w:val="single" w:sz="4" w:space="0" w:color="auto"/>
            <w:right w:val="single" w:sz="4" w:space="0" w:color="auto"/>
          </w:tcBorders>
          <w:vAlign w:val="center"/>
        </w:tcPr>
        <w:p w14:paraId="13582C9A" w14:textId="77777777" w:rsidR="0084136D" w:rsidRPr="002236C3" w:rsidRDefault="0084136D" w:rsidP="0084136D">
          <w:pPr>
            <w:tabs>
              <w:tab w:val="center" w:pos="4419"/>
              <w:tab w:val="right" w:pos="8838"/>
            </w:tabs>
            <w:spacing w:after="0" w:line="240" w:lineRule="auto"/>
            <w:jc w:val="center"/>
            <w:rPr>
              <w:rFonts w:ascii="Aptos" w:hAnsi="Aptos" w:cs="Arial"/>
              <w:b/>
              <w:sz w:val="28"/>
              <w:szCs w:val="28"/>
            </w:rPr>
          </w:pPr>
        </w:p>
      </w:tc>
      <w:tc>
        <w:tcPr>
          <w:tcW w:w="2162" w:type="dxa"/>
          <w:tcBorders>
            <w:top w:val="single" w:sz="4" w:space="0" w:color="auto"/>
            <w:left w:val="single" w:sz="4" w:space="0" w:color="auto"/>
            <w:bottom w:val="single" w:sz="4" w:space="0" w:color="auto"/>
            <w:right w:val="single" w:sz="4" w:space="0" w:color="auto"/>
          </w:tcBorders>
          <w:vAlign w:val="center"/>
        </w:tcPr>
        <w:p w14:paraId="38B3D4CE" w14:textId="77777777" w:rsidR="0084136D" w:rsidRPr="002236C3" w:rsidRDefault="0084136D" w:rsidP="0084136D">
          <w:pPr>
            <w:tabs>
              <w:tab w:val="center" w:pos="4419"/>
              <w:tab w:val="right" w:pos="8838"/>
            </w:tabs>
            <w:spacing w:after="0" w:line="240" w:lineRule="auto"/>
            <w:rPr>
              <w:rFonts w:ascii="Aptos" w:hAnsi="Aptos" w:cs="Arial"/>
              <w:bCs/>
              <w:sz w:val="18"/>
              <w:szCs w:val="18"/>
            </w:rPr>
          </w:pPr>
          <w:r w:rsidRPr="002236C3">
            <w:rPr>
              <w:rFonts w:ascii="Aptos" w:hAnsi="Aptos" w:cs="Arial"/>
              <w:bCs/>
              <w:sz w:val="18"/>
              <w:szCs w:val="18"/>
            </w:rPr>
            <w:t>Versión: 01</w:t>
          </w:r>
        </w:p>
      </w:tc>
    </w:tr>
    <w:tr w:rsidR="0084136D" w:rsidRPr="002236C3" w14:paraId="3B5FD249" w14:textId="77777777" w:rsidTr="0084136D">
      <w:trPr>
        <w:cantSplit/>
        <w:trHeight w:val="340"/>
      </w:trPr>
      <w:tc>
        <w:tcPr>
          <w:tcW w:w="2446" w:type="dxa"/>
          <w:vMerge/>
          <w:tcBorders>
            <w:left w:val="single" w:sz="4" w:space="0" w:color="auto"/>
            <w:bottom w:val="single" w:sz="4" w:space="0" w:color="auto"/>
            <w:right w:val="single" w:sz="4" w:space="0" w:color="auto"/>
          </w:tcBorders>
          <w:vAlign w:val="center"/>
        </w:tcPr>
        <w:p w14:paraId="6BA3AF4D" w14:textId="77777777" w:rsidR="0084136D" w:rsidRDefault="0084136D" w:rsidP="0084136D">
          <w:pPr>
            <w:tabs>
              <w:tab w:val="center" w:pos="4419"/>
              <w:tab w:val="right" w:pos="8838"/>
            </w:tabs>
            <w:spacing w:after="0" w:line="240" w:lineRule="auto"/>
            <w:jc w:val="center"/>
            <w:rPr>
              <w:rFonts w:ascii="Arial" w:hAnsi="Arial" w:cs="Arial"/>
              <w:noProof/>
            </w:rPr>
          </w:pPr>
        </w:p>
      </w:tc>
      <w:tc>
        <w:tcPr>
          <w:tcW w:w="4748" w:type="dxa"/>
          <w:vMerge/>
          <w:tcBorders>
            <w:left w:val="single" w:sz="4" w:space="0" w:color="auto"/>
            <w:bottom w:val="single" w:sz="4" w:space="0" w:color="auto"/>
            <w:right w:val="single" w:sz="4" w:space="0" w:color="auto"/>
          </w:tcBorders>
          <w:vAlign w:val="center"/>
        </w:tcPr>
        <w:p w14:paraId="01891BC1" w14:textId="77777777" w:rsidR="0084136D" w:rsidRPr="002236C3" w:rsidRDefault="0084136D" w:rsidP="0084136D">
          <w:pPr>
            <w:tabs>
              <w:tab w:val="center" w:pos="4419"/>
              <w:tab w:val="right" w:pos="8838"/>
            </w:tabs>
            <w:spacing w:after="0" w:line="240" w:lineRule="auto"/>
            <w:jc w:val="center"/>
            <w:rPr>
              <w:rFonts w:ascii="Aptos" w:hAnsi="Aptos" w:cs="Arial"/>
              <w:b/>
              <w:sz w:val="28"/>
              <w:szCs w:val="28"/>
            </w:rPr>
          </w:pPr>
        </w:p>
      </w:tc>
      <w:tc>
        <w:tcPr>
          <w:tcW w:w="2162" w:type="dxa"/>
          <w:tcBorders>
            <w:top w:val="single" w:sz="4" w:space="0" w:color="auto"/>
            <w:left w:val="single" w:sz="4" w:space="0" w:color="auto"/>
            <w:bottom w:val="single" w:sz="4" w:space="0" w:color="auto"/>
            <w:right w:val="single" w:sz="4" w:space="0" w:color="auto"/>
          </w:tcBorders>
          <w:vAlign w:val="center"/>
        </w:tcPr>
        <w:p w14:paraId="03FA7B7B" w14:textId="27593F6A" w:rsidR="0084136D" w:rsidRPr="002236C3" w:rsidRDefault="0084136D" w:rsidP="0084136D">
          <w:pPr>
            <w:tabs>
              <w:tab w:val="center" w:pos="4419"/>
              <w:tab w:val="right" w:pos="8838"/>
            </w:tabs>
            <w:spacing w:after="0" w:line="240" w:lineRule="auto"/>
            <w:rPr>
              <w:rFonts w:ascii="Aptos" w:hAnsi="Aptos" w:cs="Arial"/>
              <w:bCs/>
              <w:sz w:val="18"/>
              <w:szCs w:val="18"/>
            </w:rPr>
          </w:pPr>
          <w:r w:rsidRPr="002236C3">
            <w:rPr>
              <w:rFonts w:ascii="Aptos" w:hAnsi="Aptos" w:cs="Arial"/>
              <w:bCs/>
              <w:sz w:val="18"/>
              <w:szCs w:val="18"/>
            </w:rPr>
            <w:t xml:space="preserve">Fecha: </w:t>
          </w:r>
          <w:r>
            <w:rPr>
              <w:rFonts w:ascii="Aptos" w:hAnsi="Aptos" w:cs="Arial"/>
              <w:bCs/>
              <w:sz w:val="18"/>
              <w:szCs w:val="18"/>
            </w:rPr>
            <w:t>OCTUBRE</w:t>
          </w:r>
          <w:r w:rsidRPr="002236C3">
            <w:rPr>
              <w:rFonts w:ascii="Aptos" w:hAnsi="Aptos" w:cs="Arial"/>
              <w:bCs/>
              <w:sz w:val="18"/>
              <w:szCs w:val="18"/>
            </w:rPr>
            <w:t xml:space="preserve"> 2026</w:t>
          </w:r>
        </w:p>
      </w:tc>
    </w:tr>
  </w:tbl>
  <w:p w14:paraId="317B4205" w14:textId="0C89934F" w:rsidR="00D5034A" w:rsidRPr="00D5034A" w:rsidRDefault="00D5034A" w:rsidP="00D5034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1BDC" w14:textId="77777777" w:rsidR="009E1F17" w:rsidRDefault="009E1F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C50"/>
    <w:multiLevelType w:val="hybridMultilevel"/>
    <w:tmpl w:val="275C740C"/>
    <w:lvl w:ilvl="0" w:tplc="240A0011">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00282BE3"/>
    <w:multiLevelType w:val="multilevel"/>
    <w:tmpl w:val="AA1A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E11F0"/>
    <w:multiLevelType w:val="hybridMultilevel"/>
    <w:tmpl w:val="AF7EF0CE"/>
    <w:lvl w:ilvl="0" w:tplc="5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790706"/>
    <w:multiLevelType w:val="hybridMultilevel"/>
    <w:tmpl w:val="BBDC5ECE"/>
    <w:lvl w:ilvl="0" w:tplc="5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C43004"/>
    <w:multiLevelType w:val="hybridMultilevel"/>
    <w:tmpl w:val="94FE3878"/>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8932AF1"/>
    <w:multiLevelType w:val="hybridMultilevel"/>
    <w:tmpl w:val="74E01A2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C1F33C0"/>
    <w:multiLevelType w:val="hybridMultilevel"/>
    <w:tmpl w:val="FEEC36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E737E74"/>
    <w:multiLevelType w:val="multilevel"/>
    <w:tmpl w:val="03E6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B5DCB"/>
    <w:multiLevelType w:val="hybridMultilevel"/>
    <w:tmpl w:val="9636FBF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1970179E"/>
    <w:multiLevelType w:val="hybridMultilevel"/>
    <w:tmpl w:val="87FE96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EF25E2C"/>
    <w:multiLevelType w:val="multilevel"/>
    <w:tmpl w:val="BF98E0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06B5035"/>
    <w:multiLevelType w:val="multilevel"/>
    <w:tmpl w:val="B4AA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C6636E"/>
    <w:multiLevelType w:val="hybridMultilevel"/>
    <w:tmpl w:val="6404534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69E2679"/>
    <w:multiLevelType w:val="hybridMultilevel"/>
    <w:tmpl w:val="AED6BCAA"/>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2715040C"/>
    <w:multiLevelType w:val="multilevel"/>
    <w:tmpl w:val="A008C6B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D390F28"/>
    <w:multiLevelType w:val="hybridMultilevel"/>
    <w:tmpl w:val="436E50B0"/>
    <w:lvl w:ilvl="0" w:tplc="240A000D">
      <w:start w:val="1"/>
      <w:numFmt w:val="bullet"/>
      <w:lvlText w:val=""/>
      <w:lvlJc w:val="left"/>
      <w:pPr>
        <w:ind w:left="1080" w:hanging="360"/>
      </w:pPr>
      <w:rPr>
        <w:rFonts w:ascii="Wingdings" w:hAnsi="Wingdings"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16" w15:restartNumberingAfterBreak="0">
    <w:nsid w:val="31147B7B"/>
    <w:multiLevelType w:val="hybridMultilevel"/>
    <w:tmpl w:val="010C894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E422E31"/>
    <w:multiLevelType w:val="hybridMultilevel"/>
    <w:tmpl w:val="7B1C6EF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F7D709A"/>
    <w:multiLevelType w:val="hybridMultilevel"/>
    <w:tmpl w:val="2D44EC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4AE111C"/>
    <w:multiLevelType w:val="multilevel"/>
    <w:tmpl w:val="0604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FE773D"/>
    <w:multiLevelType w:val="hybridMultilevel"/>
    <w:tmpl w:val="8BEECB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DE7593A"/>
    <w:multiLevelType w:val="multilevel"/>
    <w:tmpl w:val="A008C6B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12362EA"/>
    <w:multiLevelType w:val="multilevel"/>
    <w:tmpl w:val="09D81676"/>
    <w:lvl w:ilvl="0">
      <w:start w:val="1"/>
      <w:numFmt w:val="decimal"/>
      <w:lvlText w:val="%1."/>
      <w:legacy w:legacy="1" w:legacySpace="0" w:legacyIndent="360"/>
      <w:lvlJc w:val="left"/>
      <w:pPr>
        <w:ind w:left="0" w:firstLine="0"/>
      </w:pPr>
      <w:rPr>
        <w:rFonts w:ascii="Arial" w:hAnsi="Arial" w:cs="Times New Roman" w:hint="default"/>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720" w:hanging="720"/>
      </w:pPr>
      <w:rPr>
        <w:b/>
      </w:rPr>
    </w:lvl>
    <w:lvl w:ilvl="5">
      <w:start w:val="1"/>
      <w:numFmt w:val="decimal"/>
      <w:lvlText w:val="%1.%2.%3.%4.%5.%6"/>
      <w:lvlJc w:val="left"/>
      <w:pPr>
        <w:ind w:left="1080" w:hanging="1080"/>
      </w:pPr>
      <w:rPr>
        <w:b/>
      </w:rPr>
    </w:lvl>
    <w:lvl w:ilvl="6">
      <w:start w:val="1"/>
      <w:numFmt w:val="decimal"/>
      <w:lvlText w:val="%1.%2.%3.%4.%5.%6.%7"/>
      <w:lvlJc w:val="left"/>
      <w:pPr>
        <w:ind w:left="1080" w:hanging="108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23" w15:restartNumberingAfterBreak="0">
    <w:nsid w:val="538305F9"/>
    <w:multiLevelType w:val="hybridMultilevel"/>
    <w:tmpl w:val="37D0A80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BB03E1B"/>
    <w:multiLevelType w:val="multilevel"/>
    <w:tmpl w:val="B19A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0171E4"/>
    <w:multiLevelType w:val="hybridMultilevel"/>
    <w:tmpl w:val="B53407F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B2818E6"/>
    <w:multiLevelType w:val="multilevel"/>
    <w:tmpl w:val="EE10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906CA3"/>
    <w:multiLevelType w:val="multilevel"/>
    <w:tmpl w:val="A008C6B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72C7081D"/>
    <w:multiLevelType w:val="multilevel"/>
    <w:tmpl w:val="C7DA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63645D"/>
    <w:multiLevelType w:val="multilevel"/>
    <w:tmpl w:val="3F88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884463"/>
    <w:multiLevelType w:val="hybridMultilevel"/>
    <w:tmpl w:val="B916033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7222FB6"/>
    <w:multiLevelType w:val="multilevel"/>
    <w:tmpl w:val="A008C6B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79896276"/>
    <w:multiLevelType w:val="hybridMultilevel"/>
    <w:tmpl w:val="7B1C6E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CBB5D60"/>
    <w:multiLevelType w:val="hybridMultilevel"/>
    <w:tmpl w:val="06A0855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CD01319"/>
    <w:multiLevelType w:val="hybridMultilevel"/>
    <w:tmpl w:val="E16A3838"/>
    <w:lvl w:ilvl="0" w:tplc="580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FD976C4"/>
    <w:multiLevelType w:val="hybridMultilevel"/>
    <w:tmpl w:val="D05AA0D2"/>
    <w:lvl w:ilvl="0" w:tplc="24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9164220">
    <w:abstractNumId w:val="20"/>
  </w:num>
  <w:num w:numId="2" w16cid:durableId="1980917169">
    <w:abstractNumId w:val="10"/>
  </w:num>
  <w:num w:numId="3" w16cid:durableId="1424953050">
    <w:abstractNumId w:val="25"/>
  </w:num>
  <w:num w:numId="4" w16cid:durableId="2141343722">
    <w:abstractNumId w:val="5"/>
  </w:num>
  <w:num w:numId="5" w16cid:durableId="550847530">
    <w:abstractNumId w:val="13"/>
  </w:num>
  <w:num w:numId="6" w16cid:durableId="1577670353">
    <w:abstractNumId w:val="17"/>
  </w:num>
  <w:num w:numId="7" w16cid:durableId="204413301">
    <w:abstractNumId w:val="32"/>
  </w:num>
  <w:num w:numId="8" w16cid:durableId="119227107">
    <w:abstractNumId w:val="7"/>
  </w:num>
  <w:num w:numId="9" w16cid:durableId="664749567">
    <w:abstractNumId w:val="28"/>
  </w:num>
  <w:num w:numId="10" w16cid:durableId="1526555822">
    <w:abstractNumId w:val="24"/>
  </w:num>
  <w:num w:numId="11" w16cid:durableId="1513371661">
    <w:abstractNumId w:val="26"/>
  </w:num>
  <w:num w:numId="12" w16cid:durableId="243102399">
    <w:abstractNumId w:val="29"/>
  </w:num>
  <w:num w:numId="13" w16cid:durableId="504516351">
    <w:abstractNumId w:val="11"/>
  </w:num>
  <w:num w:numId="14" w16cid:durableId="668599663">
    <w:abstractNumId w:val="19"/>
  </w:num>
  <w:num w:numId="15" w16cid:durableId="878711104">
    <w:abstractNumId w:val="1"/>
  </w:num>
  <w:num w:numId="16" w16cid:durableId="482085673">
    <w:abstractNumId w:val="23"/>
  </w:num>
  <w:num w:numId="17" w16cid:durableId="1198617775">
    <w:abstractNumId w:val="16"/>
  </w:num>
  <w:num w:numId="18" w16cid:durableId="126974697">
    <w:abstractNumId w:val="0"/>
  </w:num>
  <w:num w:numId="19" w16cid:durableId="2004315409">
    <w:abstractNumId w:val="4"/>
  </w:num>
  <w:num w:numId="20" w16cid:durableId="231350162">
    <w:abstractNumId w:val="35"/>
  </w:num>
  <w:num w:numId="21" w16cid:durableId="1024984031">
    <w:abstractNumId w:val="12"/>
  </w:num>
  <w:num w:numId="22" w16cid:durableId="1317223810">
    <w:abstractNumId w:val="30"/>
  </w:num>
  <w:num w:numId="23" w16cid:durableId="1659453510">
    <w:abstractNumId w:val="33"/>
  </w:num>
  <w:num w:numId="24" w16cid:durableId="405029919">
    <w:abstractNumId w:val="6"/>
  </w:num>
  <w:num w:numId="25" w16cid:durableId="388388073">
    <w:abstractNumId w:val="18"/>
  </w:num>
  <w:num w:numId="26" w16cid:durableId="1527864076">
    <w:abstractNumId w:val="9"/>
  </w:num>
  <w:num w:numId="27" w16cid:durableId="4924540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0187279">
    <w:abstractNumId w:val="31"/>
  </w:num>
  <w:num w:numId="29" w16cid:durableId="631062149">
    <w:abstractNumId w:val="3"/>
  </w:num>
  <w:num w:numId="30" w16cid:durableId="1177113268">
    <w:abstractNumId w:val="8"/>
  </w:num>
  <w:num w:numId="31" w16cid:durableId="1515456887">
    <w:abstractNumId w:val="21"/>
  </w:num>
  <w:num w:numId="32" w16cid:durableId="1598979197">
    <w:abstractNumId w:val="15"/>
  </w:num>
  <w:num w:numId="33" w16cid:durableId="1194809382">
    <w:abstractNumId w:val="34"/>
  </w:num>
  <w:num w:numId="34" w16cid:durableId="1550799292">
    <w:abstractNumId w:val="2"/>
  </w:num>
  <w:num w:numId="35" w16cid:durableId="469596731">
    <w:abstractNumId w:val="27"/>
  </w:num>
  <w:num w:numId="36" w16cid:durableId="18999743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4A"/>
    <w:rsid w:val="00000008"/>
    <w:rsid w:val="00065B6A"/>
    <w:rsid w:val="000C28A6"/>
    <w:rsid w:val="0017691B"/>
    <w:rsid w:val="001B03B5"/>
    <w:rsid w:val="001B2B84"/>
    <w:rsid w:val="001F5F31"/>
    <w:rsid w:val="00212BAF"/>
    <w:rsid w:val="00357B12"/>
    <w:rsid w:val="003C2682"/>
    <w:rsid w:val="003E2A16"/>
    <w:rsid w:val="003E72CB"/>
    <w:rsid w:val="00414FD1"/>
    <w:rsid w:val="004D4B7E"/>
    <w:rsid w:val="005468AC"/>
    <w:rsid w:val="0057616A"/>
    <w:rsid w:val="00614F85"/>
    <w:rsid w:val="0062598B"/>
    <w:rsid w:val="00635C8D"/>
    <w:rsid w:val="006B0942"/>
    <w:rsid w:val="006B669E"/>
    <w:rsid w:val="006B6733"/>
    <w:rsid w:val="006E3E6F"/>
    <w:rsid w:val="00703160"/>
    <w:rsid w:val="00713F6E"/>
    <w:rsid w:val="007552D6"/>
    <w:rsid w:val="00783416"/>
    <w:rsid w:val="007B5159"/>
    <w:rsid w:val="007F1782"/>
    <w:rsid w:val="0084136D"/>
    <w:rsid w:val="008752AF"/>
    <w:rsid w:val="00877A39"/>
    <w:rsid w:val="00897550"/>
    <w:rsid w:val="008D7352"/>
    <w:rsid w:val="00901547"/>
    <w:rsid w:val="00955E92"/>
    <w:rsid w:val="00996BB9"/>
    <w:rsid w:val="009C3F65"/>
    <w:rsid w:val="009E1F17"/>
    <w:rsid w:val="00A363A6"/>
    <w:rsid w:val="00A85E5E"/>
    <w:rsid w:val="00AB218B"/>
    <w:rsid w:val="00AD2F90"/>
    <w:rsid w:val="00AF3817"/>
    <w:rsid w:val="00B359DD"/>
    <w:rsid w:val="00B56649"/>
    <w:rsid w:val="00B9286C"/>
    <w:rsid w:val="00BA7CC2"/>
    <w:rsid w:val="00BC3213"/>
    <w:rsid w:val="00BF29A5"/>
    <w:rsid w:val="00C51719"/>
    <w:rsid w:val="00C6103D"/>
    <w:rsid w:val="00C749A3"/>
    <w:rsid w:val="00C81282"/>
    <w:rsid w:val="00C837AA"/>
    <w:rsid w:val="00CB175E"/>
    <w:rsid w:val="00CB5CC9"/>
    <w:rsid w:val="00CF5130"/>
    <w:rsid w:val="00D1124B"/>
    <w:rsid w:val="00D2245D"/>
    <w:rsid w:val="00D41AD6"/>
    <w:rsid w:val="00D5034A"/>
    <w:rsid w:val="00D545AE"/>
    <w:rsid w:val="00D803B7"/>
    <w:rsid w:val="00DE2722"/>
    <w:rsid w:val="00DE5168"/>
    <w:rsid w:val="00E257DA"/>
    <w:rsid w:val="00E5509A"/>
    <w:rsid w:val="00EA0B97"/>
    <w:rsid w:val="00EB3C5F"/>
    <w:rsid w:val="00ED1DCE"/>
    <w:rsid w:val="00EF1F44"/>
    <w:rsid w:val="00F5553A"/>
    <w:rsid w:val="00F72678"/>
    <w:rsid w:val="00F72EF6"/>
    <w:rsid w:val="00F72FE8"/>
    <w:rsid w:val="00F94011"/>
    <w:rsid w:val="00FC05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73AB9"/>
  <w15:chartTrackingRefBased/>
  <w15:docId w15:val="{A33EB226-6B4A-43D2-9080-DD3E9D2F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96BB9"/>
    <w:pPr>
      <w:spacing w:before="100" w:beforeAutospacing="1" w:after="100" w:afterAutospacing="1" w:line="240" w:lineRule="auto"/>
      <w:outlineLvl w:val="0"/>
    </w:pPr>
    <w:rPr>
      <w:rFonts w:ascii="Arial" w:eastAsia="Times New Roman" w:hAnsi="Arial" w:cs="Times New Roman"/>
      <w:b/>
      <w:bCs/>
      <w:kern w:val="36"/>
      <w:sz w:val="24"/>
      <w:szCs w:val="48"/>
      <w:lang w:eastAsia="es-CO"/>
    </w:rPr>
  </w:style>
  <w:style w:type="paragraph" w:styleId="Ttulo2">
    <w:name w:val="heading 2"/>
    <w:basedOn w:val="Normal"/>
    <w:next w:val="Normal"/>
    <w:link w:val="Ttulo2Car"/>
    <w:uiPriority w:val="9"/>
    <w:unhideWhenUsed/>
    <w:qFormat/>
    <w:rsid w:val="00996BB9"/>
    <w:pPr>
      <w:keepNext/>
      <w:keepLines/>
      <w:spacing w:before="40" w:after="0" w:line="240" w:lineRule="auto"/>
      <w:outlineLvl w:val="1"/>
    </w:pPr>
    <w:rPr>
      <w:rFonts w:ascii="Arial" w:eastAsiaTheme="majorEastAsia" w:hAnsi="Arial" w:cstheme="majorBidi"/>
      <w:b/>
      <w:color w:val="000000" w:themeColor="text1"/>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03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034A"/>
  </w:style>
  <w:style w:type="paragraph" w:styleId="Piedepgina">
    <w:name w:val="footer"/>
    <w:basedOn w:val="Normal"/>
    <w:link w:val="PiedepginaCar"/>
    <w:uiPriority w:val="99"/>
    <w:unhideWhenUsed/>
    <w:rsid w:val="00D503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034A"/>
  </w:style>
  <w:style w:type="table" w:styleId="Tablaconcuadrcula">
    <w:name w:val="Table Grid"/>
    <w:basedOn w:val="Tablanormal"/>
    <w:uiPriority w:val="39"/>
    <w:rsid w:val="00D50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D1DCE"/>
    <w:pPr>
      <w:ind w:left="720"/>
      <w:contextualSpacing/>
    </w:pPr>
  </w:style>
  <w:style w:type="character" w:styleId="Fuerte">
    <w:name w:val="Strong"/>
    <w:basedOn w:val="Fuentedeprrafopredeter"/>
    <w:uiPriority w:val="22"/>
    <w:qFormat/>
    <w:rsid w:val="00B359DD"/>
    <w:rPr>
      <w:b/>
      <w:bCs/>
    </w:rPr>
  </w:style>
  <w:style w:type="paragraph" w:customStyle="1" w:styleId="pdq2pgselectionanchorcontainer">
    <w:name w:val="pdq2pg_selectionanchorcontainer"/>
    <w:basedOn w:val="Normal"/>
    <w:rsid w:val="00DE272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uiPriority w:val="99"/>
    <w:semiHidden/>
    <w:unhideWhenUsed/>
    <w:rsid w:val="00DE272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996BB9"/>
    <w:rPr>
      <w:rFonts w:ascii="Arial" w:eastAsia="Times New Roman" w:hAnsi="Arial" w:cs="Times New Roman"/>
      <w:b/>
      <w:bCs/>
      <w:kern w:val="36"/>
      <w:sz w:val="24"/>
      <w:szCs w:val="48"/>
      <w:lang w:eastAsia="es-CO"/>
    </w:rPr>
  </w:style>
  <w:style w:type="character" w:customStyle="1" w:styleId="Ttulo2Car">
    <w:name w:val="Título 2 Car"/>
    <w:basedOn w:val="Fuentedeprrafopredeter"/>
    <w:link w:val="Ttulo2"/>
    <w:uiPriority w:val="9"/>
    <w:rsid w:val="00996BB9"/>
    <w:rPr>
      <w:rFonts w:ascii="Arial" w:eastAsiaTheme="majorEastAsia" w:hAnsi="Arial" w:cstheme="majorBidi"/>
      <w:b/>
      <w:color w:val="000000" w:themeColor="text1"/>
      <w:sz w:val="24"/>
      <w:szCs w:val="26"/>
    </w:rPr>
  </w:style>
  <w:style w:type="paragraph" w:styleId="Sinespaciado">
    <w:name w:val="No Spacing"/>
    <w:uiPriority w:val="1"/>
    <w:qFormat/>
    <w:rsid w:val="00996B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56431">
      <w:bodyDiv w:val="1"/>
      <w:marLeft w:val="0"/>
      <w:marRight w:val="0"/>
      <w:marTop w:val="0"/>
      <w:marBottom w:val="0"/>
      <w:divBdr>
        <w:top w:val="none" w:sz="0" w:space="0" w:color="auto"/>
        <w:left w:val="none" w:sz="0" w:space="0" w:color="auto"/>
        <w:bottom w:val="none" w:sz="0" w:space="0" w:color="auto"/>
        <w:right w:val="none" w:sz="0" w:space="0" w:color="auto"/>
      </w:divBdr>
    </w:div>
    <w:div w:id="572009046">
      <w:bodyDiv w:val="1"/>
      <w:marLeft w:val="0"/>
      <w:marRight w:val="0"/>
      <w:marTop w:val="0"/>
      <w:marBottom w:val="0"/>
      <w:divBdr>
        <w:top w:val="none" w:sz="0" w:space="0" w:color="auto"/>
        <w:left w:val="none" w:sz="0" w:space="0" w:color="auto"/>
        <w:bottom w:val="none" w:sz="0" w:space="0" w:color="auto"/>
        <w:right w:val="none" w:sz="0" w:space="0" w:color="auto"/>
      </w:divBdr>
      <w:divsChild>
        <w:div w:id="1331757757">
          <w:marLeft w:val="0"/>
          <w:marRight w:val="0"/>
          <w:marTop w:val="0"/>
          <w:marBottom w:val="0"/>
          <w:divBdr>
            <w:top w:val="none" w:sz="0" w:space="0" w:color="auto"/>
            <w:left w:val="none" w:sz="0" w:space="0" w:color="auto"/>
            <w:bottom w:val="none" w:sz="0" w:space="0" w:color="auto"/>
            <w:right w:val="none" w:sz="0" w:space="0" w:color="auto"/>
          </w:divBdr>
          <w:divsChild>
            <w:div w:id="1943607053">
              <w:marLeft w:val="0"/>
              <w:marRight w:val="0"/>
              <w:marTop w:val="0"/>
              <w:marBottom w:val="0"/>
              <w:divBdr>
                <w:top w:val="none" w:sz="0" w:space="0" w:color="auto"/>
                <w:left w:val="none" w:sz="0" w:space="0" w:color="auto"/>
                <w:bottom w:val="none" w:sz="0" w:space="0" w:color="auto"/>
                <w:right w:val="none" w:sz="0" w:space="0" w:color="auto"/>
              </w:divBdr>
              <w:divsChild>
                <w:div w:id="1292395517">
                  <w:marLeft w:val="0"/>
                  <w:marRight w:val="0"/>
                  <w:marTop w:val="0"/>
                  <w:marBottom w:val="0"/>
                  <w:divBdr>
                    <w:top w:val="none" w:sz="0" w:space="0" w:color="auto"/>
                    <w:left w:val="none" w:sz="0" w:space="0" w:color="auto"/>
                    <w:bottom w:val="none" w:sz="0" w:space="0" w:color="auto"/>
                    <w:right w:val="none" w:sz="0" w:space="0" w:color="auto"/>
                  </w:divBdr>
                  <w:divsChild>
                    <w:div w:id="668941638">
                      <w:marLeft w:val="0"/>
                      <w:marRight w:val="0"/>
                      <w:marTop w:val="0"/>
                      <w:marBottom w:val="0"/>
                      <w:divBdr>
                        <w:top w:val="none" w:sz="0" w:space="0" w:color="auto"/>
                        <w:left w:val="none" w:sz="0" w:space="0" w:color="auto"/>
                        <w:bottom w:val="none" w:sz="0" w:space="0" w:color="auto"/>
                        <w:right w:val="none" w:sz="0" w:space="0" w:color="auto"/>
                      </w:divBdr>
                      <w:divsChild>
                        <w:div w:id="671949604">
                          <w:marLeft w:val="0"/>
                          <w:marRight w:val="0"/>
                          <w:marTop w:val="0"/>
                          <w:marBottom w:val="0"/>
                          <w:divBdr>
                            <w:top w:val="none" w:sz="0" w:space="0" w:color="auto"/>
                            <w:left w:val="none" w:sz="0" w:space="0" w:color="auto"/>
                            <w:bottom w:val="none" w:sz="0" w:space="0" w:color="auto"/>
                            <w:right w:val="none" w:sz="0" w:space="0" w:color="auto"/>
                          </w:divBdr>
                          <w:divsChild>
                            <w:div w:id="1862815267">
                              <w:marLeft w:val="0"/>
                              <w:marRight w:val="0"/>
                              <w:marTop w:val="0"/>
                              <w:marBottom w:val="0"/>
                              <w:divBdr>
                                <w:top w:val="none" w:sz="0" w:space="0" w:color="auto"/>
                                <w:left w:val="none" w:sz="0" w:space="0" w:color="auto"/>
                                <w:bottom w:val="none" w:sz="0" w:space="0" w:color="auto"/>
                                <w:right w:val="none" w:sz="0" w:space="0" w:color="auto"/>
                              </w:divBdr>
                              <w:divsChild>
                                <w:div w:id="774517947">
                                  <w:marLeft w:val="0"/>
                                  <w:marRight w:val="0"/>
                                  <w:marTop w:val="0"/>
                                  <w:marBottom w:val="0"/>
                                  <w:divBdr>
                                    <w:top w:val="none" w:sz="0" w:space="0" w:color="auto"/>
                                    <w:left w:val="none" w:sz="0" w:space="0" w:color="auto"/>
                                    <w:bottom w:val="none" w:sz="0" w:space="0" w:color="auto"/>
                                    <w:right w:val="none" w:sz="0" w:space="0" w:color="auto"/>
                                  </w:divBdr>
                                  <w:divsChild>
                                    <w:div w:id="16181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091243">
      <w:bodyDiv w:val="1"/>
      <w:marLeft w:val="0"/>
      <w:marRight w:val="0"/>
      <w:marTop w:val="0"/>
      <w:marBottom w:val="0"/>
      <w:divBdr>
        <w:top w:val="none" w:sz="0" w:space="0" w:color="auto"/>
        <w:left w:val="none" w:sz="0" w:space="0" w:color="auto"/>
        <w:bottom w:val="none" w:sz="0" w:space="0" w:color="auto"/>
        <w:right w:val="none" w:sz="0" w:space="0" w:color="auto"/>
      </w:divBdr>
    </w:div>
    <w:div w:id="593974972">
      <w:bodyDiv w:val="1"/>
      <w:marLeft w:val="0"/>
      <w:marRight w:val="0"/>
      <w:marTop w:val="0"/>
      <w:marBottom w:val="0"/>
      <w:divBdr>
        <w:top w:val="none" w:sz="0" w:space="0" w:color="auto"/>
        <w:left w:val="none" w:sz="0" w:space="0" w:color="auto"/>
        <w:bottom w:val="none" w:sz="0" w:space="0" w:color="auto"/>
        <w:right w:val="none" w:sz="0" w:space="0" w:color="auto"/>
      </w:divBdr>
    </w:div>
    <w:div w:id="640036547">
      <w:bodyDiv w:val="1"/>
      <w:marLeft w:val="0"/>
      <w:marRight w:val="0"/>
      <w:marTop w:val="0"/>
      <w:marBottom w:val="0"/>
      <w:divBdr>
        <w:top w:val="none" w:sz="0" w:space="0" w:color="auto"/>
        <w:left w:val="none" w:sz="0" w:space="0" w:color="auto"/>
        <w:bottom w:val="none" w:sz="0" w:space="0" w:color="auto"/>
        <w:right w:val="none" w:sz="0" w:space="0" w:color="auto"/>
      </w:divBdr>
    </w:div>
    <w:div w:id="667682052">
      <w:bodyDiv w:val="1"/>
      <w:marLeft w:val="0"/>
      <w:marRight w:val="0"/>
      <w:marTop w:val="0"/>
      <w:marBottom w:val="0"/>
      <w:divBdr>
        <w:top w:val="none" w:sz="0" w:space="0" w:color="auto"/>
        <w:left w:val="none" w:sz="0" w:space="0" w:color="auto"/>
        <w:bottom w:val="none" w:sz="0" w:space="0" w:color="auto"/>
        <w:right w:val="none" w:sz="0" w:space="0" w:color="auto"/>
      </w:divBdr>
    </w:div>
    <w:div w:id="691689020">
      <w:bodyDiv w:val="1"/>
      <w:marLeft w:val="0"/>
      <w:marRight w:val="0"/>
      <w:marTop w:val="0"/>
      <w:marBottom w:val="0"/>
      <w:divBdr>
        <w:top w:val="none" w:sz="0" w:space="0" w:color="auto"/>
        <w:left w:val="none" w:sz="0" w:space="0" w:color="auto"/>
        <w:bottom w:val="none" w:sz="0" w:space="0" w:color="auto"/>
        <w:right w:val="none" w:sz="0" w:space="0" w:color="auto"/>
      </w:divBdr>
    </w:div>
    <w:div w:id="746655840">
      <w:bodyDiv w:val="1"/>
      <w:marLeft w:val="0"/>
      <w:marRight w:val="0"/>
      <w:marTop w:val="0"/>
      <w:marBottom w:val="0"/>
      <w:divBdr>
        <w:top w:val="none" w:sz="0" w:space="0" w:color="auto"/>
        <w:left w:val="none" w:sz="0" w:space="0" w:color="auto"/>
        <w:bottom w:val="none" w:sz="0" w:space="0" w:color="auto"/>
        <w:right w:val="none" w:sz="0" w:space="0" w:color="auto"/>
      </w:divBdr>
    </w:div>
    <w:div w:id="762530940">
      <w:bodyDiv w:val="1"/>
      <w:marLeft w:val="0"/>
      <w:marRight w:val="0"/>
      <w:marTop w:val="0"/>
      <w:marBottom w:val="0"/>
      <w:divBdr>
        <w:top w:val="none" w:sz="0" w:space="0" w:color="auto"/>
        <w:left w:val="none" w:sz="0" w:space="0" w:color="auto"/>
        <w:bottom w:val="none" w:sz="0" w:space="0" w:color="auto"/>
        <w:right w:val="none" w:sz="0" w:space="0" w:color="auto"/>
      </w:divBdr>
    </w:div>
    <w:div w:id="777526211">
      <w:bodyDiv w:val="1"/>
      <w:marLeft w:val="0"/>
      <w:marRight w:val="0"/>
      <w:marTop w:val="0"/>
      <w:marBottom w:val="0"/>
      <w:divBdr>
        <w:top w:val="none" w:sz="0" w:space="0" w:color="auto"/>
        <w:left w:val="none" w:sz="0" w:space="0" w:color="auto"/>
        <w:bottom w:val="none" w:sz="0" w:space="0" w:color="auto"/>
        <w:right w:val="none" w:sz="0" w:space="0" w:color="auto"/>
      </w:divBdr>
    </w:div>
    <w:div w:id="801654045">
      <w:bodyDiv w:val="1"/>
      <w:marLeft w:val="0"/>
      <w:marRight w:val="0"/>
      <w:marTop w:val="0"/>
      <w:marBottom w:val="0"/>
      <w:divBdr>
        <w:top w:val="none" w:sz="0" w:space="0" w:color="auto"/>
        <w:left w:val="none" w:sz="0" w:space="0" w:color="auto"/>
        <w:bottom w:val="none" w:sz="0" w:space="0" w:color="auto"/>
        <w:right w:val="none" w:sz="0" w:space="0" w:color="auto"/>
      </w:divBdr>
    </w:div>
    <w:div w:id="1056005426">
      <w:bodyDiv w:val="1"/>
      <w:marLeft w:val="0"/>
      <w:marRight w:val="0"/>
      <w:marTop w:val="0"/>
      <w:marBottom w:val="0"/>
      <w:divBdr>
        <w:top w:val="none" w:sz="0" w:space="0" w:color="auto"/>
        <w:left w:val="none" w:sz="0" w:space="0" w:color="auto"/>
        <w:bottom w:val="none" w:sz="0" w:space="0" w:color="auto"/>
        <w:right w:val="none" w:sz="0" w:space="0" w:color="auto"/>
      </w:divBdr>
    </w:div>
    <w:div w:id="1167089293">
      <w:bodyDiv w:val="1"/>
      <w:marLeft w:val="0"/>
      <w:marRight w:val="0"/>
      <w:marTop w:val="0"/>
      <w:marBottom w:val="0"/>
      <w:divBdr>
        <w:top w:val="none" w:sz="0" w:space="0" w:color="auto"/>
        <w:left w:val="none" w:sz="0" w:space="0" w:color="auto"/>
        <w:bottom w:val="none" w:sz="0" w:space="0" w:color="auto"/>
        <w:right w:val="none" w:sz="0" w:space="0" w:color="auto"/>
      </w:divBdr>
    </w:div>
    <w:div w:id="1207330487">
      <w:bodyDiv w:val="1"/>
      <w:marLeft w:val="0"/>
      <w:marRight w:val="0"/>
      <w:marTop w:val="0"/>
      <w:marBottom w:val="0"/>
      <w:divBdr>
        <w:top w:val="none" w:sz="0" w:space="0" w:color="auto"/>
        <w:left w:val="none" w:sz="0" w:space="0" w:color="auto"/>
        <w:bottom w:val="none" w:sz="0" w:space="0" w:color="auto"/>
        <w:right w:val="none" w:sz="0" w:space="0" w:color="auto"/>
      </w:divBdr>
    </w:div>
    <w:div w:id="1255284247">
      <w:bodyDiv w:val="1"/>
      <w:marLeft w:val="0"/>
      <w:marRight w:val="0"/>
      <w:marTop w:val="0"/>
      <w:marBottom w:val="0"/>
      <w:divBdr>
        <w:top w:val="none" w:sz="0" w:space="0" w:color="auto"/>
        <w:left w:val="none" w:sz="0" w:space="0" w:color="auto"/>
        <w:bottom w:val="none" w:sz="0" w:space="0" w:color="auto"/>
        <w:right w:val="none" w:sz="0" w:space="0" w:color="auto"/>
      </w:divBdr>
      <w:divsChild>
        <w:div w:id="853373782">
          <w:marLeft w:val="0"/>
          <w:marRight w:val="0"/>
          <w:marTop w:val="0"/>
          <w:marBottom w:val="0"/>
          <w:divBdr>
            <w:top w:val="none" w:sz="0" w:space="0" w:color="auto"/>
            <w:left w:val="none" w:sz="0" w:space="0" w:color="auto"/>
            <w:bottom w:val="none" w:sz="0" w:space="0" w:color="auto"/>
            <w:right w:val="none" w:sz="0" w:space="0" w:color="auto"/>
          </w:divBdr>
          <w:divsChild>
            <w:div w:id="128608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5642">
      <w:bodyDiv w:val="1"/>
      <w:marLeft w:val="0"/>
      <w:marRight w:val="0"/>
      <w:marTop w:val="0"/>
      <w:marBottom w:val="0"/>
      <w:divBdr>
        <w:top w:val="none" w:sz="0" w:space="0" w:color="auto"/>
        <w:left w:val="none" w:sz="0" w:space="0" w:color="auto"/>
        <w:bottom w:val="none" w:sz="0" w:space="0" w:color="auto"/>
        <w:right w:val="none" w:sz="0" w:space="0" w:color="auto"/>
      </w:divBdr>
    </w:div>
    <w:div w:id="1276595602">
      <w:bodyDiv w:val="1"/>
      <w:marLeft w:val="0"/>
      <w:marRight w:val="0"/>
      <w:marTop w:val="0"/>
      <w:marBottom w:val="0"/>
      <w:divBdr>
        <w:top w:val="none" w:sz="0" w:space="0" w:color="auto"/>
        <w:left w:val="none" w:sz="0" w:space="0" w:color="auto"/>
        <w:bottom w:val="none" w:sz="0" w:space="0" w:color="auto"/>
        <w:right w:val="none" w:sz="0" w:space="0" w:color="auto"/>
      </w:divBdr>
    </w:div>
    <w:div w:id="1636595343">
      <w:bodyDiv w:val="1"/>
      <w:marLeft w:val="0"/>
      <w:marRight w:val="0"/>
      <w:marTop w:val="0"/>
      <w:marBottom w:val="0"/>
      <w:divBdr>
        <w:top w:val="none" w:sz="0" w:space="0" w:color="auto"/>
        <w:left w:val="none" w:sz="0" w:space="0" w:color="auto"/>
        <w:bottom w:val="none" w:sz="0" w:space="0" w:color="auto"/>
        <w:right w:val="none" w:sz="0" w:space="0" w:color="auto"/>
      </w:divBdr>
    </w:div>
    <w:div w:id="1844778284">
      <w:bodyDiv w:val="1"/>
      <w:marLeft w:val="0"/>
      <w:marRight w:val="0"/>
      <w:marTop w:val="0"/>
      <w:marBottom w:val="0"/>
      <w:divBdr>
        <w:top w:val="none" w:sz="0" w:space="0" w:color="auto"/>
        <w:left w:val="none" w:sz="0" w:space="0" w:color="auto"/>
        <w:bottom w:val="none" w:sz="0" w:space="0" w:color="auto"/>
        <w:right w:val="none" w:sz="0" w:space="0" w:color="auto"/>
      </w:divBdr>
    </w:div>
    <w:div w:id="1868062963">
      <w:bodyDiv w:val="1"/>
      <w:marLeft w:val="0"/>
      <w:marRight w:val="0"/>
      <w:marTop w:val="0"/>
      <w:marBottom w:val="0"/>
      <w:divBdr>
        <w:top w:val="none" w:sz="0" w:space="0" w:color="auto"/>
        <w:left w:val="none" w:sz="0" w:space="0" w:color="auto"/>
        <w:bottom w:val="none" w:sz="0" w:space="0" w:color="auto"/>
        <w:right w:val="none" w:sz="0" w:space="0" w:color="auto"/>
      </w:divBdr>
    </w:div>
    <w:div w:id="1917667894">
      <w:bodyDiv w:val="1"/>
      <w:marLeft w:val="0"/>
      <w:marRight w:val="0"/>
      <w:marTop w:val="0"/>
      <w:marBottom w:val="0"/>
      <w:divBdr>
        <w:top w:val="none" w:sz="0" w:space="0" w:color="auto"/>
        <w:left w:val="none" w:sz="0" w:space="0" w:color="auto"/>
        <w:bottom w:val="none" w:sz="0" w:space="0" w:color="auto"/>
        <w:right w:val="none" w:sz="0" w:space="0" w:color="auto"/>
      </w:divBdr>
    </w:div>
    <w:div w:id="1947031960">
      <w:bodyDiv w:val="1"/>
      <w:marLeft w:val="0"/>
      <w:marRight w:val="0"/>
      <w:marTop w:val="0"/>
      <w:marBottom w:val="0"/>
      <w:divBdr>
        <w:top w:val="none" w:sz="0" w:space="0" w:color="auto"/>
        <w:left w:val="none" w:sz="0" w:space="0" w:color="auto"/>
        <w:bottom w:val="none" w:sz="0" w:space="0" w:color="auto"/>
        <w:right w:val="none" w:sz="0" w:space="0" w:color="auto"/>
      </w:divBdr>
    </w:div>
    <w:div w:id="207797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5155</Words>
  <Characters>28354</Characters>
  <Application>Microsoft Office Word</Application>
  <DocSecurity>4</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HOSPITAL - Calidad02_Zamora</dc:creator>
  <cp:keywords/>
  <dc:description/>
  <cp:lastModifiedBy>HOSPITAL- Calidad Siau01_Rosalpi</cp:lastModifiedBy>
  <cp:revision>2</cp:revision>
  <cp:lastPrinted>2020-08-16T21:08:00Z</cp:lastPrinted>
  <dcterms:created xsi:type="dcterms:W3CDTF">2026-10-13T12:32:00Z</dcterms:created>
  <dcterms:modified xsi:type="dcterms:W3CDTF">2026-10-13T12:32:00Z</dcterms:modified>
</cp:coreProperties>
</file>